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bCs/>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6</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04</w:t>
      </w:r>
      <w:r>
        <w:rPr>
          <w:rFonts w:hint="eastAsia" w:ascii="Times New Roman" w:hAnsi="Times New Roman" w:eastAsia="宋体"/>
          <w:b/>
          <w:sz w:val="36"/>
          <w:szCs w:val="36"/>
          <w:highlight w:val="none"/>
        </w:rPr>
        <w:t>月</w:t>
      </w: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2" w:name="_Toc11326092"/>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bookmarkStart w:id="61" w:name="_GoBack"/>
      <w:bookmarkEnd w:id="61"/>
      <w:r>
        <w:rPr>
          <w:rFonts w:hint="eastAsia" w:ascii="宋体" w:hAnsi="宋体" w:eastAsia="宋体"/>
          <w:kern w:val="0"/>
          <w:sz w:val="24"/>
          <w:szCs w:val="24"/>
          <w:highlight w:val="none"/>
          <w:lang w:eastAsia="zh-CN"/>
        </w:rPr>
        <w:t>2026年临床研究一体化管理平台运维服务</w:t>
      </w:r>
    </w:p>
    <w:p>
      <w:pPr>
        <w:autoSpaceDE w:val="0"/>
        <w:autoSpaceDN w:val="0"/>
        <w:spacing w:line="360" w:lineRule="auto"/>
        <w:ind w:left="360" w:firstLine="64" w:firstLineChars="27"/>
        <w:rPr>
          <w:rFonts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w:t>
      </w:r>
      <w:r>
        <w:rPr>
          <w:rFonts w:hint="eastAsia" w:ascii="宋体" w:hAnsi="宋体" w:eastAsia="宋体"/>
          <w:kern w:val="0"/>
          <w:sz w:val="24"/>
          <w:szCs w:val="24"/>
          <w:highlight w:val="none"/>
          <w:lang w:val="en-US" w:eastAsia="zh-CN"/>
        </w:rPr>
        <w:t>三</w:t>
      </w:r>
      <w:r>
        <w:rPr>
          <w:rFonts w:hint="eastAsia" w:ascii="宋体" w:hAnsi="宋体" w:eastAsia="宋体"/>
          <w:kern w:val="0"/>
          <w:sz w:val="24"/>
          <w:szCs w:val="24"/>
          <w:highlight w:val="none"/>
        </w:rPr>
        <w:t>章“货物需求一览表及技术规格”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 xml:space="preserve">年 </w:t>
      </w:r>
      <w:r>
        <w:rPr>
          <w:rFonts w:hint="eastAsia" w:ascii="宋体" w:hAnsi="宋体" w:eastAsia="宋体" w:cs="Times New Roman"/>
          <w:sz w:val="24"/>
          <w:szCs w:val="24"/>
          <w:highlight w:val="none"/>
          <w:lang w:val="en-US" w:eastAsia="zh-CN"/>
        </w:rPr>
        <w:t>04</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04</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10</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04</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17</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6"/>
      <w:bookmarkStart w:id="8" w:name="OLE_LINK11"/>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9066359"/>
      <w:bookmarkStart w:id="10" w:name="_Toc11326093"/>
      <w:bookmarkStart w:id="11" w:name="_Toc516880880"/>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70"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70"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70"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eastAsia="zh-CN"/>
              </w:rPr>
              <w:t>2026年临床研究一体化管理平台运维服务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70"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技术</w:t>
            </w:r>
            <w:r>
              <w:rPr>
                <w:rFonts w:hint="eastAsia" w:ascii="宋体" w:hAnsi="宋体" w:eastAsia="宋体" w:cs="Times New Roman"/>
                <w:sz w:val="24"/>
                <w:szCs w:val="20"/>
                <w:highlight w:val="none"/>
              </w:rPr>
              <w:t>响应/偏离表</w:t>
            </w:r>
          </w:p>
          <w:p>
            <w:pPr>
              <w:spacing w:line="360" w:lineRule="auto"/>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供应商应按</w:t>
            </w:r>
            <w:r>
              <w:rPr>
                <w:rFonts w:hint="eastAsia" w:ascii="宋体" w:hAnsi="宋体" w:eastAsia="宋体" w:cs="Times New Roman"/>
                <w:sz w:val="24"/>
                <w:szCs w:val="20"/>
                <w:highlight w:val="none"/>
                <w:lang w:val="en-US" w:eastAsia="zh-CN"/>
              </w:rPr>
              <w:t>响应文件</w:t>
            </w:r>
            <w:r>
              <w:rPr>
                <w:rFonts w:hint="eastAsia" w:ascii="宋体" w:hAnsi="宋体" w:eastAsia="宋体" w:cs="Times New Roman"/>
                <w:sz w:val="24"/>
                <w:szCs w:val="20"/>
                <w:highlight w:val="none"/>
              </w:rPr>
              <w:t>填写技术规格响应/偏离表</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对招标文件第三章《项目需求及技术规格》的所有条款逐条应答，投标人可自行设定格式。</w:t>
            </w:r>
          </w:p>
          <w:p>
            <w:pPr>
              <w:pStyle w:val="15"/>
              <w:numPr>
                <w:ilvl w:val="0"/>
                <w:numId w:val="2"/>
              </w:numPr>
              <w:rPr>
                <w:rFonts w:hint="eastAsia" w:ascii="宋体" w:hAnsi="宋体" w:cs="Times New Roman"/>
                <w:sz w:val="24"/>
                <w:szCs w:val="20"/>
                <w:highlight w:val="none"/>
                <w:lang w:val="en-US" w:eastAsia="zh-CN"/>
              </w:rPr>
            </w:pPr>
            <w:r>
              <w:rPr>
                <w:rFonts w:hint="eastAsia" w:ascii="宋体" w:hAnsi="宋体" w:cs="Times New Roman"/>
                <w:sz w:val="24"/>
                <w:szCs w:val="20"/>
                <w:highlight w:val="none"/>
                <w:lang w:val="en-US" w:eastAsia="zh-CN"/>
              </w:rPr>
              <w:t>商务条款响应/偏离表</w:t>
            </w:r>
          </w:p>
          <w:p>
            <w:pPr>
              <w:pStyle w:val="15"/>
              <w:numPr>
                <w:ilvl w:val="0"/>
                <w:numId w:val="0"/>
              </w:numPr>
              <w:rPr>
                <w:rFonts w:hint="default" w:ascii="宋体" w:hAnsi="宋体" w:cs="Times New Roman"/>
                <w:sz w:val="24"/>
                <w:szCs w:val="20"/>
                <w:highlight w:val="none"/>
                <w:lang w:val="en-US" w:eastAsia="zh-CN"/>
              </w:rPr>
            </w:pPr>
            <w:r>
              <w:rPr>
                <w:rFonts w:hint="eastAsia" w:ascii="宋体" w:hAnsi="宋体" w:eastAsia="宋体" w:cs="Times New Roman"/>
                <w:sz w:val="24"/>
                <w:szCs w:val="20"/>
                <w:highlight w:val="none"/>
              </w:rPr>
              <w:t>供应商应按</w:t>
            </w:r>
            <w:r>
              <w:rPr>
                <w:rFonts w:hint="eastAsia" w:ascii="宋体" w:hAnsi="宋体" w:eastAsia="宋体" w:cs="Times New Roman"/>
                <w:sz w:val="24"/>
                <w:szCs w:val="20"/>
                <w:highlight w:val="none"/>
                <w:lang w:val="en-US" w:eastAsia="zh-CN"/>
              </w:rPr>
              <w:t>响应文件</w:t>
            </w:r>
            <w:r>
              <w:rPr>
                <w:rFonts w:hint="eastAsia" w:ascii="宋体" w:hAnsi="宋体" w:eastAsia="宋体" w:cs="Times New Roman"/>
                <w:sz w:val="24"/>
                <w:szCs w:val="20"/>
                <w:highlight w:val="none"/>
              </w:rPr>
              <w:t>填写商务条款响应/偏离表</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格式自拟</w:t>
            </w:r>
            <w:r>
              <w:rPr>
                <w:rFonts w:hint="eastAsia" w:ascii="宋体" w:hAnsi="宋体" w:eastAsia="宋体" w:cs="Times New Roman"/>
                <w:sz w:val="24"/>
                <w:szCs w:val="20"/>
                <w:highlight w:val="none"/>
              </w:rPr>
              <w:t>。</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lang w:eastAsia="zh-CN"/>
              </w:rPr>
              <w:t>第三章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w:t>
            </w:r>
            <w:r>
              <w:rPr>
                <w:rFonts w:hint="eastAsia" w:ascii="宋体" w:hAnsi="宋体" w:eastAsia="宋体" w:cs="Times New Roman"/>
                <w:sz w:val="24"/>
                <w:szCs w:val="20"/>
                <w:highlight w:val="none"/>
                <w:lang w:eastAsia="zh-CN"/>
              </w:rPr>
              <w:t>第三章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p>
        </w:tc>
        <w:tc>
          <w:tcPr>
            <w:tcW w:w="4470"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3"/>
              </w:numPr>
              <w:kinsoku w:val="0"/>
              <w:autoSpaceDE w:val="0"/>
              <w:autoSpaceDN w:val="0"/>
              <w:spacing w:line="360" w:lineRule="auto"/>
              <w:ind w:left="720" w:leftChars="0"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（格式见附件</w:t>
            </w:r>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供应商需提供无行贿犯罪记录声明函；（格式见附件</w:t>
            </w: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8.1</w:t>
            </w:r>
          </w:p>
        </w:tc>
        <w:tc>
          <w:tcPr>
            <w:tcW w:w="4470" w:type="pct"/>
            <w:vAlign w:val="center"/>
          </w:tcPr>
          <w:p>
            <w:pPr>
              <w:kinsoku w:val="0"/>
              <w:autoSpaceDE w:val="0"/>
              <w:autoSpaceDN w:val="0"/>
              <w:spacing w:line="360" w:lineRule="auto"/>
              <w:ind w:right="57"/>
              <w:textAlignment w:val="bottom"/>
              <w:rPr>
                <w:rFonts w:hint="eastAsia" w:asciiTheme="minorEastAsia" w:hAnsiTheme="minorEastAsia" w:eastAsiaTheme="minorEastAsia"/>
                <w:sz w:val="24"/>
                <w:szCs w:val="24"/>
                <w:highlight w:val="none"/>
              </w:rPr>
            </w:pPr>
            <w:r>
              <w:rPr>
                <w:rFonts w:hint="eastAsia" w:ascii="宋体" w:hAnsi="宋体" w:eastAsia="宋体" w:cs="Times New Roman"/>
                <w:sz w:val="24"/>
                <w:szCs w:val="20"/>
                <w:lang w:val="en-US" w:eastAsia="zh-CN"/>
              </w:rPr>
              <w:t>在采购过程中，投标人如发现采购人有违法违规行为，可向医院纪检部门举报。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8.2</w:t>
            </w:r>
          </w:p>
        </w:tc>
        <w:tc>
          <w:tcPr>
            <w:tcW w:w="4470" w:type="pct"/>
            <w:vAlign w:val="center"/>
          </w:tcPr>
          <w:p>
            <w:pPr>
              <w:kinsoku w:val="0"/>
              <w:autoSpaceDE w:val="0"/>
              <w:autoSpaceDN w:val="0"/>
              <w:spacing w:line="360" w:lineRule="auto"/>
              <w:ind w:right="57"/>
              <w:textAlignment w:val="bottom"/>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采购人如发现投标人之间存在关联关系，不论项目进行中或招标已经完成，采购人有权终止此项目招标或取消招标结果。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hint="eastAsia" w:ascii="Times New Roman" w:hAnsi="Times New Roman" w:eastAsia="宋体" w:cs="Times New Roman"/>
                <w:sz w:val="24"/>
                <w:szCs w:val="20"/>
                <w:highlight w:val="none"/>
                <w:lang w:val="en-US" w:eastAsia="zh-CN"/>
              </w:rPr>
              <w:t>9</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10</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70"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1</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1</w:t>
            </w:r>
          </w:p>
        </w:tc>
        <w:tc>
          <w:tcPr>
            <w:tcW w:w="4470"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hint="eastAsia" w:ascii="宋体" w:hAnsi="宋体" w:eastAsia="宋体" w:cs="Times New Roman"/>
                <w:sz w:val="24"/>
                <w:szCs w:val="20"/>
                <w:highlight w:val="none"/>
                <w:lang w:val="en-US" w:eastAsia="zh-CN"/>
              </w:rPr>
              <w:t>3</w:t>
            </w:r>
            <w:r>
              <w:rPr>
                <w:rFonts w:ascii="宋体" w:hAnsi="宋体" w:eastAsia="宋体" w:cs="Times New Roman"/>
                <w:sz w:val="24"/>
                <w:szCs w:val="20"/>
                <w:highlight w:val="none"/>
              </w:rPr>
              <w:t>.2</w:t>
            </w:r>
          </w:p>
        </w:tc>
        <w:tc>
          <w:tcPr>
            <w:tcW w:w="4470"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val="0"/>
                <w:bCs/>
                <w:sz w:val="24"/>
                <w:szCs w:val="20"/>
                <w:highlight w:val="none"/>
              </w:rPr>
              <w:t>1</w:t>
            </w:r>
            <w:r>
              <w:rPr>
                <w:rFonts w:hint="eastAsia" w:ascii="宋体" w:hAnsi="宋体" w:eastAsia="宋体" w:cs="Times New Roman"/>
                <w:b w:val="0"/>
                <w:bCs/>
                <w:sz w:val="24"/>
                <w:szCs w:val="20"/>
                <w:highlight w:val="none"/>
                <w:lang w:val="en-US" w:eastAsia="zh-CN"/>
              </w:rPr>
              <w:t>3</w:t>
            </w:r>
            <w:r>
              <w:rPr>
                <w:rFonts w:ascii="宋体" w:hAnsi="宋体" w:eastAsia="宋体" w:cs="Times New Roman"/>
                <w:b w:val="0"/>
                <w:bCs/>
                <w:sz w:val="24"/>
                <w:szCs w:val="20"/>
                <w:highlight w:val="none"/>
              </w:rPr>
              <w:t>.3</w:t>
            </w: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val="0"/>
                <w:bCs/>
                <w:sz w:val="24"/>
                <w:szCs w:val="20"/>
                <w:highlight w:val="none"/>
              </w:rPr>
              <w:t>1</w:t>
            </w:r>
            <w:r>
              <w:rPr>
                <w:rFonts w:hint="eastAsia" w:ascii="宋体" w:hAnsi="宋体" w:eastAsia="宋体" w:cs="Times New Roman"/>
                <w:b w:val="0"/>
                <w:bCs/>
                <w:sz w:val="24"/>
                <w:szCs w:val="20"/>
                <w:highlight w:val="none"/>
                <w:lang w:val="en-US" w:eastAsia="zh-CN"/>
              </w:rPr>
              <w:t>3</w:t>
            </w:r>
            <w:r>
              <w:rPr>
                <w:rFonts w:ascii="宋体" w:hAnsi="宋体" w:eastAsia="宋体" w:cs="Times New Roman"/>
                <w:b w:val="0"/>
                <w:bCs/>
                <w:sz w:val="24"/>
                <w:szCs w:val="20"/>
                <w:highlight w:val="none"/>
              </w:rPr>
              <w:t>.4</w:t>
            </w: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70"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hint="eastAsia" w:ascii="宋体" w:hAnsi="宋体" w:eastAsia="宋体" w:cs="Times New Roman"/>
                <w:sz w:val="24"/>
                <w:szCs w:val="20"/>
                <w:highlight w:val="none"/>
                <w:lang w:eastAsia="zh-CN"/>
              </w:rPr>
            </w:pPr>
            <w:r>
              <w:rPr>
                <w:rFonts w:ascii="Times New Roman" w:hAnsi="Times New Roman" w:eastAsia="宋体" w:cs="Times New Roman"/>
                <w:sz w:val="24"/>
                <w:szCs w:val="20"/>
                <w:highlight w:val="none"/>
              </w:rPr>
              <w:t>1</w:t>
            </w:r>
            <w:r>
              <w:rPr>
                <w:rFonts w:hint="eastAsia" w:ascii="Times New Roman" w:hAnsi="Times New Roman" w:eastAsia="宋体" w:cs="Times New Roman"/>
                <w:sz w:val="24"/>
                <w:szCs w:val="20"/>
                <w:highlight w:val="none"/>
                <w:lang w:val="en-US" w:eastAsia="zh-CN"/>
              </w:rPr>
              <w:t>4</w:t>
            </w:r>
          </w:p>
        </w:tc>
        <w:tc>
          <w:tcPr>
            <w:tcW w:w="4470"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p>
        </w:tc>
        <w:tc>
          <w:tcPr>
            <w:tcW w:w="4470" w:type="pct"/>
            <w:vAlign w:val="center"/>
          </w:tcPr>
          <w:p>
            <w:pPr>
              <w:adjustRightInd w:val="0"/>
              <w:snapToGrid w:val="0"/>
              <w:spacing w:line="360" w:lineRule="auto"/>
              <w:textAlignment w:val="center"/>
              <w:rPr>
                <w:rFonts w:ascii="宋体" w:hAnsi="宋体" w:eastAsia="宋体" w:cs="Times New Roman"/>
                <w:sz w:val="24"/>
                <w:szCs w:val="20"/>
                <w:highlight w:val="none"/>
              </w:rPr>
            </w:pPr>
          </w:p>
        </w:tc>
      </w:tr>
    </w:tbl>
    <w:p>
      <w:pPr>
        <w:rPr>
          <w:rFonts w:ascii="Times New Roman" w:hAnsi="Times New Roman" w:eastAsia="宋体" w:cs="Times New Roman"/>
          <w:b/>
          <w:kern w:val="44"/>
          <w:sz w:val="36"/>
          <w:szCs w:val="20"/>
          <w:highlight w:val="none"/>
        </w:rPr>
      </w:pPr>
      <w:bookmarkStart w:id="12" w:name="_Toc9066360"/>
      <w:bookmarkStart w:id="13" w:name="_Toc11326094"/>
      <w:r>
        <w:rPr>
          <w:rFonts w:ascii="Times New Roman" w:hAnsi="Times New Roman" w:eastAsia="宋体" w:cs="Times New Roman"/>
          <w:b/>
          <w:kern w:val="44"/>
          <w:sz w:val="36"/>
          <w:szCs w:val="20"/>
          <w:highlight w:val="none"/>
        </w:rPr>
        <w:br w:type="page"/>
      </w:r>
    </w:p>
    <w:p>
      <w:pPr>
        <w:keepNext/>
        <w:keepLines/>
        <w:spacing w:before="260" w:after="260" w:line="360" w:lineRule="auto"/>
        <w:jc w:val="center"/>
        <w:outlineLvl w:val="0"/>
        <w:rPr>
          <w:rFonts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 xml:space="preserve">第三章  </w:t>
      </w:r>
      <w:r>
        <w:rPr>
          <w:rFonts w:hint="eastAsia" w:ascii="Times New Roman" w:hAnsi="Times New Roman" w:eastAsia="宋体" w:cs="Times New Roman"/>
          <w:b/>
          <w:kern w:val="44"/>
          <w:sz w:val="36"/>
          <w:szCs w:val="20"/>
          <w:highlight w:val="none"/>
          <w:lang w:val="en-US" w:eastAsia="zh-CN"/>
        </w:rPr>
        <w:t>项目</w:t>
      </w:r>
      <w:r>
        <w:rPr>
          <w:rFonts w:hint="eastAsia" w:ascii="Times New Roman" w:hAnsi="Times New Roman" w:eastAsia="宋体" w:cs="Times New Roman"/>
          <w:b/>
          <w:kern w:val="44"/>
          <w:sz w:val="36"/>
          <w:szCs w:val="20"/>
          <w:highlight w:val="none"/>
        </w:rPr>
        <w:t>需求及技术规格</w:t>
      </w:r>
    </w:p>
    <w:bookmarkEnd w:id="12"/>
    <w:bookmarkEnd w:id="13"/>
    <w:tbl>
      <w:tblPr>
        <w:tblStyle w:val="31"/>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27"/>
        <w:gridCol w:w="1337"/>
        <w:gridCol w:w="3827"/>
        <w:gridCol w:w="1464"/>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4" w:type="dxa"/>
            <w:noWrap w:val="0"/>
            <w:vAlign w:val="center"/>
          </w:tcPr>
          <w:p>
            <w:pPr>
              <w:spacing w:line="240" w:lineRule="auto"/>
              <w:jc w:val="center"/>
              <w:rPr>
                <w:rFonts w:hint="eastAsia" w:ascii="宋体" w:hAnsi="宋体" w:eastAsia="宋体" w:cs="宋体"/>
                <w:b/>
                <w:sz w:val="24"/>
                <w:szCs w:val="24"/>
                <w:highlight w:val="none"/>
              </w:rPr>
            </w:pPr>
            <w:bookmarkStart w:id="14" w:name="_Toc11326096"/>
            <w:r>
              <w:rPr>
                <w:rFonts w:hint="eastAsia" w:ascii="宋体" w:hAnsi="宋体" w:eastAsia="宋体" w:cs="宋体"/>
                <w:b/>
                <w:sz w:val="24"/>
                <w:szCs w:val="24"/>
                <w:highlight w:val="none"/>
              </w:rPr>
              <w:t>序号</w:t>
            </w:r>
          </w:p>
        </w:tc>
        <w:tc>
          <w:tcPr>
            <w:tcW w:w="1227" w:type="dxa"/>
            <w:noWrap w:val="0"/>
            <w:vAlign w:val="center"/>
          </w:tcPr>
          <w:p>
            <w:pPr>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eastAsia="zh-CN"/>
              </w:rPr>
              <w:t>工作类别</w:t>
            </w:r>
          </w:p>
        </w:tc>
        <w:tc>
          <w:tcPr>
            <w:tcW w:w="1337" w:type="dxa"/>
            <w:noWrap w:val="0"/>
            <w:vAlign w:val="center"/>
          </w:tcPr>
          <w:p>
            <w:pPr>
              <w:spacing w:line="24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工作内容</w:t>
            </w:r>
          </w:p>
        </w:tc>
        <w:tc>
          <w:tcPr>
            <w:tcW w:w="3827" w:type="dxa"/>
            <w:noWrap w:val="0"/>
            <w:vAlign w:val="center"/>
          </w:tcPr>
          <w:p>
            <w:pPr>
              <w:spacing w:line="24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详细服务内容</w:t>
            </w:r>
          </w:p>
        </w:tc>
        <w:tc>
          <w:tcPr>
            <w:tcW w:w="1464" w:type="dxa"/>
            <w:noWrap w:val="0"/>
            <w:vAlign w:val="center"/>
          </w:tcPr>
          <w:p>
            <w:pPr>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响应</w:t>
            </w:r>
          </w:p>
        </w:tc>
        <w:tc>
          <w:tcPr>
            <w:tcW w:w="1338" w:type="dxa"/>
            <w:noWrap w:val="0"/>
            <w:vAlign w:val="center"/>
          </w:tcPr>
          <w:p>
            <w:pPr>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numPr>
                <w:ilvl w:val="0"/>
                <w:numId w:val="0"/>
              </w:numPr>
              <w:spacing w:line="240" w:lineRule="auto"/>
              <w:ind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27" w:type="dxa"/>
            <w:vMerge w:val="restart"/>
            <w:noWrap w:val="0"/>
            <w:vAlign w:val="center"/>
          </w:tcPr>
          <w:p>
            <w:pPr>
              <w:spacing w:line="240" w:lineRule="auto"/>
              <w:jc w:val="both"/>
              <w:rPr>
                <w:rFonts w:hint="eastAsia" w:ascii="宋体" w:hAnsi="宋体" w:eastAsia="宋体" w:cs="宋体"/>
                <w:b w:val="0"/>
                <w:bCs/>
                <w:sz w:val="24"/>
                <w:szCs w:val="24"/>
                <w:highlight w:val="none"/>
              </w:rPr>
            </w:pPr>
            <w:r>
              <w:rPr>
                <w:rFonts w:hint="eastAsia" w:ascii="宋体" w:hAnsi="宋体" w:eastAsia="宋体" w:cs="宋体"/>
                <w:i w:val="0"/>
                <w:iCs w:val="0"/>
                <w:color w:val="000000"/>
                <w:kern w:val="0"/>
                <w:sz w:val="24"/>
                <w:szCs w:val="24"/>
                <w:u w:val="none"/>
                <w:lang w:val="en-US" w:eastAsia="zh-CN" w:bidi="ar"/>
              </w:rPr>
              <w:t>平台维护保障</w:t>
            </w:r>
          </w:p>
        </w:tc>
        <w:tc>
          <w:tcPr>
            <w:tcW w:w="1337" w:type="dxa"/>
            <w:noWrap w:val="0"/>
            <w:vAlign w:val="center"/>
          </w:tcPr>
          <w:p>
            <w:pPr>
              <w:spacing w:line="240" w:lineRule="auto"/>
              <w:jc w:val="both"/>
              <w:rPr>
                <w:rFonts w:hint="eastAsia" w:ascii="宋体" w:hAnsi="宋体" w:eastAsia="宋体" w:cs="宋体"/>
                <w:b w:val="0"/>
                <w:bCs/>
                <w:sz w:val="24"/>
                <w:szCs w:val="24"/>
                <w:highlight w:val="none"/>
              </w:rPr>
            </w:pPr>
            <w:r>
              <w:rPr>
                <w:rFonts w:hint="eastAsia" w:ascii="宋体" w:hAnsi="宋体" w:eastAsia="宋体" w:cs="宋体"/>
                <w:i w:val="0"/>
                <w:iCs w:val="0"/>
                <w:color w:val="000000"/>
                <w:kern w:val="0"/>
                <w:sz w:val="24"/>
                <w:szCs w:val="24"/>
                <w:u w:val="none"/>
                <w:lang w:val="en-US" w:eastAsia="zh-CN" w:bidi="ar"/>
              </w:rPr>
              <w:t>故障响应机制</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提供7×24小时故障响应服务，服务时间覆盖关键业务时段。对于核心业务流程中断等重大故障，需在 2 小时内做出响应，8 小时内完成修复；一般性问题，如页面显示异常、部分功能失效等，确保在 24 小时内处理完毕，恢复服务正常运行。</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numPr>
                <w:ilvl w:val="0"/>
                <w:numId w:val="0"/>
              </w:num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27" w:type="dxa"/>
            <w:vMerge w:val="continue"/>
            <w:noWrap w:val="0"/>
            <w:vAlign w:val="center"/>
          </w:tcPr>
          <w:p>
            <w:pPr>
              <w:spacing w:line="240" w:lineRule="auto"/>
              <w:jc w:val="both"/>
              <w:rPr>
                <w:rFonts w:hint="eastAsia" w:ascii="宋体" w:hAnsi="宋体" w:eastAsia="宋体" w:cs="宋体"/>
                <w:b w:val="0"/>
                <w:bCs/>
                <w:sz w:val="24"/>
                <w:szCs w:val="24"/>
                <w:highlight w:val="none"/>
                <w:lang w:eastAsia="zh-CN"/>
              </w:rPr>
            </w:pPr>
          </w:p>
        </w:tc>
        <w:tc>
          <w:tcPr>
            <w:tcW w:w="1337" w:type="dxa"/>
            <w:noWrap w:val="0"/>
            <w:vAlign w:val="center"/>
          </w:tcPr>
          <w:p>
            <w:pPr>
              <w:spacing w:line="240" w:lineRule="auto"/>
              <w:jc w:val="both"/>
              <w:rPr>
                <w:rFonts w:hint="eastAsia" w:ascii="宋体" w:hAnsi="宋体" w:eastAsia="宋体" w:cs="宋体"/>
                <w:b w:val="0"/>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平台检查</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每季定期开展平台检查，对平台的运行资源（如 CPU、内存、磁盘空间）、网络连接、数据库性能等进行全面监测。针对EDC等数据采集模块，重点检查数据采集的完整性、准确性和实时性；对于随机化模块，测试其算法的正确性、随机性和稳定性，及时发现并解决潜在问题。</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numPr>
                <w:ilvl w:val="0"/>
                <w:numId w:val="0"/>
              </w:num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27" w:type="dxa"/>
            <w:vMerge w:val="continue"/>
            <w:noWrap w:val="0"/>
            <w:vAlign w:val="center"/>
          </w:tcPr>
          <w:p>
            <w:pPr>
              <w:spacing w:line="240" w:lineRule="auto"/>
              <w:jc w:val="both"/>
              <w:rPr>
                <w:rFonts w:hint="eastAsia" w:ascii="宋体" w:hAnsi="宋体" w:eastAsia="宋体" w:cs="宋体"/>
                <w:b w:val="0"/>
                <w:bCs/>
                <w:sz w:val="24"/>
                <w:szCs w:val="24"/>
                <w:highlight w:val="none"/>
                <w:lang w:eastAsia="zh-CN"/>
              </w:rPr>
            </w:pPr>
          </w:p>
        </w:tc>
        <w:tc>
          <w:tcPr>
            <w:tcW w:w="13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问题跟踪与管理</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建立完善的问题跟踪机制，对平台运行过程中出现的所有问题进行统一记录、分类和跟踪。从问题的发现、上报、处理到解决，全程记录相关信息，包括问题描述、处理人员、处理时间、解决方案等。定期对记录信息进行分析，总结问题发生的规律和趋势，形成分析报告提交给甲方，为平台的优化和改进提供依据。</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4" w:type="dxa"/>
            <w:noWrap w:val="0"/>
            <w:vAlign w:val="center"/>
          </w:tcPr>
          <w:p>
            <w:pPr>
              <w:numPr>
                <w:ilvl w:val="0"/>
                <w:numId w:val="0"/>
              </w:num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27" w:type="dxa"/>
            <w:vMerge w:val="restart"/>
            <w:noWrap w:val="0"/>
            <w:vAlign w:val="center"/>
          </w:tcPr>
          <w:p>
            <w:pPr>
              <w:spacing w:line="240" w:lineRule="auto"/>
              <w:jc w:val="both"/>
              <w:rPr>
                <w:rFonts w:hint="eastAsia" w:ascii="宋体" w:hAnsi="宋体" w:eastAsia="宋体" w:cs="宋体"/>
                <w:b w:val="0"/>
                <w:bCs/>
                <w:sz w:val="24"/>
                <w:szCs w:val="24"/>
                <w:highlight w:val="none"/>
              </w:rPr>
            </w:pPr>
            <w:r>
              <w:rPr>
                <w:rFonts w:hint="eastAsia" w:ascii="宋体" w:hAnsi="宋体" w:eastAsia="宋体" w:cs="宋体"/>
                <w:i w:val="0"/>
                <w:iCs w:val="0"/>
                <w:color w:val="000000"/>
                <w:kern w:val="0"/>
                <w:sz w:val="24"/>
                <w:szCs w:val="24"/>
                <w:u w:val="none"/>
                <w:lang w:val="en-US" w:eastAsia="zh-CN" w:bidi="ar"/>
              </w:rPr>
              <w:t>安全与合规管理</w:t>
            </w:r>
          </w:p>
        </w:tc>
        <w:tc>
          <w:tcPr>
            <w:tcW w:w="13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漏洞修复与处理</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基于院方的日常安全检查，如扫描过程中发现高危漏洞后，需在 72 小时内制定并实施修复方案，确保平台安全。同时，对修复过程进行详细记录，包括修复措施、测试结果等，以便后续审计和追溯。对于中低危漏洞，也需制定合理的修复计划，逐步消除安全隐患。</w:t>
            </w:r>
            <w:r>
              <w:rPr>
                <w:rStyle w:val="212"/>
                <w:rFonts w:hint="eastAsia" w:ascii="宋体" w:hAnsi="宋体" w:eastAsia="宋体" w:cs="宋体"/>
                <w:sz w:val="24"/>
                <w:szCs w:val="24"/>
                <w:lang w:val="en-US" w:eastAsia="zh-CN" w:bidi="ar"/>
              </w:rPr>
              <w:t>​</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4" w:type="dxa"/>
            <w:noWrap w:val="0"/>
            <w:vAlign w:val="center"/>
          </w:tcPr>
          <w:p>
            <w:pPr>
              <w:numPr>
                <w:ilvl w:val="0"/>
                <w:numId w:val="0"/>
              </w:num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27" w:type="dxa"/>
            <w:vMerge w:val="continue"/>
            <w:noWrap w:val="0"/>
            <w:vAlign w:val="center"/>
          </w:tcPr>
          <w:p>
            <w:pPr>
              <w:widowControl/>
              <w:spacing w:line="240" w:lineRule="auto"/>
              <w:jc w:val="both"/>
              <w:textAlignment w:val="center"/>
              <w:rPr>
                <w:rFonts w:hint="eastAsia" w:ascii="宋体" w:hAnsi="宋体" w:eastAsia="宋体" w:cs="宋体"/>
                <w:b w:val="0"/>
                <w:bCs/>
                <w:color w:val="000000"/>
                <w:kern w:val="0"/>
                <w:sz w:val="24"/>
                <w:szCs w:val="24"/>
                <w:highlight w:val="none"/>
                <w:lang w:bidi="ar"/>
              </w:rPr>
            </w:pPr>
          </w:p>
        </w:tc>
        <w:tc>
          <w:tcPr>
            <w:tcW w:w="13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法规合规保障</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建立法规合规管理机制，定期对平台进行合规性检查（如是否符合 GCP相关法规），及时发现并纠正不符合法规要求的地方，确保平台在数据保护、隐私政策、安全标准等方面符合法规规定。</w:t>
            </w:r>
          </w:p>
        </w:tc>
        <w:tc>
          <w:tcPr>
            <w:tcW w:w="1464" w:type="dxa"/>
            <w:noWrap w:val="0"/>
            <w:vAlign w:val="center"/>
          </w:tcPr>
          <w:p>
            <w:pPr>
              <w:widowControl/>
              <w:spacing w:line="240" w:lineRule="auto"/>
              <w:jc w:val="both"/>
              <w:textAlignment w:val="center"/>
              <w:rPr>
                <w:rFonts w:hint="eastAsia" w:ascii="宋体" w:hAnsi="宋体" w:eastAsia="宋体" w:cs="宋体"/>
                <w:color w:val="000000"/>
                <w:kern w:val="0"/>
                <w:sz w:val="24"/>
                <w:szCs w:val="24"/>
                <w:highlight w:val="none"/>
                <w:lang w:bidi="ar"/>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noWrap w:val="0"/>
            <w:vAlign w:val="center"/>
          </w:tcPr>
          <w:p>
            <w:pPr>
              <w:numPr>
                <w:ilvl w:val="0"/>
                <w:numId w:val="0"/>
              </w:num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27" w:type="dxa"/>
            <w:vMerge w:val="restart"/>
            <w:noWrap w:val="0"/>
            <w:vAlign w:val="center"/>
          </w:tcPr>
          <w:p>
            <w:pPr>
              <w:spacing w:line="240" w:lineRule="auto"/>
              <w:jc w:val="both"/>
              <w:rPr>
                <w:rFonts w:hint="eastAsia" w:ascii="宋体" w:hAnsi="宋体" w:eastAsia="宋体" w:cs="宋体"/>
                <w:b w:val="0"/>
                <w:bCs/>
                <w:sz w:val="24"/>
                <w:szCs w:val="24"/>
                <w:highlight w:val="none"/>
              </w:rPr>
            </w:pPr>
            <w:r>
              <w:rPr>
                <w:rFonts w:hint="eastAsia" w:ascii="宋体" w:hAnsi="宋体" w:eastAsia="宋体" w:cs="宋体"/>
                <w:i w:val="0"/>
                <w:iCs w:val="0"/>
                <w:color w:val="000000"/>
                <w:kern w:val="0"/>
                <w:sz w:val="24"/>
                <w:szCs w:val="24"/>
                <w:u w:val="none"/>
                <w:lang w:val="en-US" w:eastAsia="zh-CN" w:bidi="ar"/>
              </w:rPr>
              <w:t>功能优化配套服务</w:t>
            </w:r>
          </w:p>
        </w:tc>
        <w:tc>
          <w:tcPr>
            <w:tcW w:w="13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用户需求收集</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用户访谈、现场调研等多种方式，全面收集用户对平台功能的使用反馈和改进需求。针对不同用户群体（如临床医生、管理人员、科研人员等），制定个性化的需求收集方案，确保收集到的需求全面、准确、具有针对性。​</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numPr>
                <w:ilvl w:val="0"/>
                <w:numId w:val="0"/>
              </w:num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227" w:type="dxa"/>
            <w:vMerge w:val="continue"/>
            <w:noWrap w:val="0"/>
            <w:vAlign w:val="center"/>
          </w:tcPr>
          <w:p>
            <w:pPr>
              <w:spacing w:line="240" w:lineRule="auto"/>
              <w:jc w:val="both"/>
              <w:rPr>
                <w:rFonts w:hint="eastAsia" w:ascii="宋体" w:hAnsi="宋体" w:eastAsia="宋体" w:cs="宋体"/>
                <w:b w:val="0"/>
                <w:bCs/>
                <w:sz w:val="24"/>
                <w:szCs w:val="24"/>
                <w:highlight w:val="none"/>
              </w:rPr>
            </w:pPr>
          </w:p>
        </w:tc>
        <w:tc>
          <w:tcPr>
            <w:tcW w:w="13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功能优化测试验证</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如需对 EDC等平台功能进行优化升级。在优化过程中，充分兼顾中医院使用的场景、并遵循信息中心的统一要求。在功能优化升级完成后，进行严格的测试验证工作，测试过程中，模拟各种实际业务场景，确保优化后的功能能够正常运行，不影响平台其他功能的使用，同时满足用户需求和业务要求。</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numPr>
                <w:ilvl w:val="0"/>
                <w:numId w:val="0"/>
              </w:numPr>
              <w:spacing w:line="240" w:lineRule="auto"/>
              <w:ind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227" w:type="dxa"/>
            <w:vMerge w:val="restart"/>
            <w:noWrap w:val="0"/>
            <w:vAlign w:val="center"/>
          </w:tcPr>
          <w:p>
            <w:pPr>
              <w:spacing w:line="240" w:lineRule="auto"/>
              <w:jc w:val="both"/>
              <w:rPr>
                <w:rFonts w:hint="eastAsia" w:ascii="宋体" w:hAnsi="宋体" w:eastAsia="宋体" w:cs="宋体"/>
                <w:b w:val="0"/>
                <w:bCs/>
                <w:sz w:val="24"/>
                <w:szCs w:val="24"/>
                <w:highlight w:val="none"/>
              </w:rPr>
            </w:pPr>
            <w:r>
              <w:rPr>
                <w:rFonts w:hint="eastAsia" w:ascii="宋体" w:hAnsi="宋体" w:eastAsia="宋体" w:cs="宋体"/>
                <w:i w:val="0"/>
                <w:iCs w:val="0"/>
                <w:color w:val="000000"/>
                <w:kern w:val="0"/>
                <w:sz w:val="24"/>
                <w:szCs w:val="24"/>
                <w:u w:val="none"/>
                <w:lang w:val="en-US" w:eastAsia="zh-CN" w:bidi="ar"/>
              </w:rPr>
              <w:t>文档与培训支持</w:t>
            </w:r>
          </w:p>
        </w:tc>
        <w:tc>
          <w:tcPr>
            <w:tcW w:w="133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用户操作培训</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据用户方需求，制定详细的用户操作培训计划，组织专业的培训人员对甲方用户进行平台操作培训。培训内容涵盖平台的基本功能、操作流程、常见问题解决方法等。针对不同用户角色提供差异化的培训课程，确保用户能够熟练掌握平台操作技能。</w:t>
            </w:r>
            <w:r>
              <w:rPr>
                <w:rStyle w:val="212"/>
                <w:rFonts w:hint="eastAsia" w:ascii="宋体" w:hAnsi="宋体" w:eastAsia="宋体" w:cs="宋体"/>
                <w:sz w:val="24"/>
                <w:szCs w:val="24"/>
                <w:lang w:val="en-US" w:eastAsia="zh-CN" w:bidi="ar"/>
              </w:rPr>
              <w:t>​</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704" w:type="dxa"/>
            <w:noWrap w:val="0"/>
            <w:vAlign w:val="center"/>
          </w:tcPr>
          <w:p>
            <w:pPr>
              <w:pStyle w:val="53"/>
              <w:numPr>
                <w:ilvl w:val="0"/>
                <w:numId w:val="4"/>
              </w:numPr>
              <w:spacing w:line="240" w:lineRule="auto"/>
              <w:ind w:firstLineChars="0"/>
              <w:jc w:val="center"/>
              <w:rPr>
                <w:rFonts w:hint="eastAsia" w:ascii="宋体" w:hAnsi="宋体" w:eastAsia="宋体" w:cs="宋体"/>
                <w:vanish/>
                <w:sz w:val="24"/>
                <w:szCs w:val="24"/>
                <w:highlight w:val="none"/>
              </w:rPr>
            </w:pPr>
          </w:p>
          <w:p>
            <w:pPr>
              <w:pStyle w:val="53"/>
              <w:numPr>
                <w:ilvl w:val="0"/>
                <w:numId w:val="4"/>
              </w:numPr>
              <w:spacing w:line="240" w:lineRule="auto"/>
              <w:ind w:firstLineChars="0"/>
              <w:jc w:val="center"/>
              <w:rPr>
                <w:rFonts w:hint="eastAsia" w:ascii="宋体" w:hAnsi="宋体" w:eastAsia="宋体" w:cs="宋体"/>
                <w:vanish/>
                <w:sz w:val="24"/>
                <w:szCs w:val="24"/>
                <w:highlight w:val="none"/>
              </w:rPr>
            </w:pPr>
          </w:p>
          <w:p>
            <w:pPr>
              <w:numPr>
                <w:ilvl w:val="0"/>
                <w:numId w:val="0"/>
              </w:num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227" w:type="dxa"/>
            <w:vMerge w:val="continue"/>
            <w:noWrap w:val="0"/>
            <w:vAlign w:val="center"/>
          </w:tcPr>
          <w:p>
            <w:pPr>
              <w:spacing w:line="240" w:lineRule="auto"/>
              <w:jc w:val="both"/>
              <w:rPr>
                <w:rFonts w:hint="eastAsia" w:ascii="宋体" w:hAnsi="宋体" w:eastAsia="宋体" w:cs="宋体"/>
                <w:b w:val="0"/>
                <w:bCs/>
                <w:sz w:val="24"/>
                <w:szCs w:val="24"/>
                <w:highlight w:val="none"/>
              </w:rPr>
            </w:pPr>
          </w:p>
        </w:tc>
        <w:tc>
          <w:tcPr>
            <w:tcW w:w="1337" w:type="dxa"/>
            <w:noWrap w:val="0"/>
            <w:vAlign w:val="center"/>
          </w:tcPr>
          <w:p>
            <w:pPr>
              <w:spacing w:line="240" w:lineRule="auto"/>
              <w:jc w:val="both"/>
              <w:rPr>
                <w:rFonts w:hint="eastAsia" w:ascii="宋体" w:hAnsi="宋体" w:eastAsia="宋体" w:cs="宋体"/>
                <w:b w:val="0"/>
                <w:bCs/>
                <w:color w:val="000000"/>
                <w:kern w:val="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文档编制与更新</w:t>
            </w:r>
          </w:p>
        </w:tc>
        <w:tc>
          <w:tcPr>
            <w:tcW w:w="38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持续更新和维护平台操作手册、技术文档、培训资料等，为甲方用户提供全面的参考资料。随着平台功能的优化升级和业务需求的变化，及时对相关文档进行更新和完善，确保文档内容与平台实际情况一致，方便用户查阅和使用。</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numPr>
                <w:ilvl w:val="0"/>
                <w:numId w:val="0"/>
              </w:numPr>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227" w:type="dxa"/>
            <w:noWrap w:val="0"/>
            <w:vAlign w:val="center"/>
          </w:tcPr>
          <w:p>
            <w:pPr>
              <w:spacing w:line="240" w:lineRule="auto"/>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服务期限</w:t>
            </w:r>
          </w:p>
        </w:tc>
        <w:tc>
          <w:tcPr>
            <w:tcW w:w="5164" w:type="dxa"/>
            <w:gridSpan w:val="2"/>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Style w:val="211"/>
                <w:rFonts w:hint="eastAsia" w:ascii="宋体" w:hAnsi="宋体" w:eastAsia="宋体" w:cs="宋体"/>
                <w:b w:val="0"/>
                <w:bCs/>
                <w:sz w:val="24"/>
                <w:szCs w:val="24"/>
                <w:highlight w:val="none"/>
                <w:lang w:val="en-US" w:eastAsia="zh-CN" w:bidi="ar"/>
              </w:rPr>
              <w:t>2026年7月1日至2027年6月30日</w:t>
            </w:r>
          </w:p>
        </w:tc>
        <w:tc>
          <w:tcPr>
            <w:tcW w:w="1464" w:type="dxa"/>
            <w:noWrap w:val="0"/>
            <w:vAlign w:val="center"/>
          </w:tcPr>
          <w:p>
            <w:pPr>
              <w:spacing w:line="240" w:lineRule="auto"/>
              <w:jc w:val="both"/>
              <w:rPr>
                <w:rFonts w:hint="eastAsia" w:ascii="宋体" w:hAnsi="宋体" w:eastAsia="宋体" w:cs="宋体"/>
                <w:sz w:val="24"/>
                <w:szCs w:val="24"/>
                <w:highlight w:val="none"/>
              </w:rPr>
            </w:pPr>
          </w:p>
        </w:tc>
        <w:tc>
          <w:tcPr>
            <w:tcW w:w="1338" w:type="dxa"/>
            <w:noWrap w:val="0"/>
            <w:vAlign w:val="center"/>
          </w:tcPr>
          <w:p>
            <w:pPr>
              <w:spacing w:line="240" w:lineRule="auto"/>
              <w:jc w:val="both"/>
              <w:rPr>
                <w:rFonts w:hint="eastAsia" w:ascii="宋体" w:hAnsi="宋体" w:eastAsia="宋体" w:cs="宋体"/>
                <w:sz w:val="24"/>
                <w:szCs w:val="24"/>
                <w:highlight w:val="none"/>
              </w:rPr>
            </w:pPr>
          </w:p>
        </w:tc>
      </w:tr>
    </w:tbl>
    <w:p>
      <w:pPr>
        <w:rPr>
          <w:rFonts w:hint="eastAsia" w:ascii="宋体" w:hAnsi="宋体" w:eastAsia="宋体" w:cs="Times New Roman"/>
          <w:b/>
          <w:sz w:val="40"/>
          <w:szCs w:val="40"/>
          <w:highlight w:val="none"/>
        </w:rPr>
      </w:pPr>
      <w:r>
        <w:rPr>
          <w:rFonts w:hint="eastAsia" w:ascii="宋体" w:hAnsi="宋体" w:eastAsia="宋体" w:cs="Times New Roman"/>
          <w:b/>
          <w:sz w:val="40"/>
          <w:szCs w:val="40"/>
          <w:highlight w:val="none"/>
        </w:rPr>
        <w:br w:type="page"/>
      </w:r>
    </w:p>
    <w:p>
      <w:pPr>
        <w:pStyle w:val="15"/>
        <w:rPr>
          <w:rFonts w:hint="eastAsia"/>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both"/>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Times New Roman" w:hAnsi="Times New Roman" w:eastAsia="宋体" w:cs="Times New Roman"/>
          <w:b/>
          <w:sz w:val="40"/>
          <w:szCs w:val="40"/>
          <w:highlight w:val="none"/>
          <w:lang w:val="en-US" w:eastAsia="zh-CN"/>
        </w:rPr>
        <w:t>2026年临床研究一体化管理平台运维服务</w:t>
      </w:r>
    </w:p>
    <w:p>
      <w:pPr>
        <w:jc w:val="center"/>
        <w:rPr>
          <w:rFonts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p>
    <w:p>
      <w:pPr>
        <w:rPr>
          <w:rFonts w:ascii="宋体" w:hAnsi="宋体" w:eastAsia="宋体" w:cs="Times New Roman"/>
          <w:b/>
          <w:sz w:val="24"/>
          <w:szCs w:val="24"/>
          <w:highlight w:val="none"/>
        </w:rPr>
      </w:pP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7748049"/>
      <w:bookmarkStart w:id="16" w:name="_Toc392227906"/>
      <w:bookmarkStart w:id="17" w:name="_Toc458971242"/>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352691655"/>
      <w:bookmarkStart w:id="19" w:name="_Toc7039"/>
      <w:bookmarkStart w:id="20" w:name="_Toc369531691"/>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6931"/>
      <w:bookmarkStart w:id="22" w:name="_Toc352691656"/>
      <w:bookmarkStart w:id="23" w:name="_Toc369531692"/>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Times New Roman" w:hAnsi="Times New Roman" w:eastAsia="宋体" w:cs="Times New Roman"/>
          <w:szCs w:val="21"/>
          <w:highlight w:val="none"/>
          <w:u w:val="single"/>
          <w:lang w:val="en-US" w:eastAsia="zh-CN"/>
        </w:rPr>
        <w:t>2026年临床研究一体化管理平台运维服务</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1187"/>
      <w:bookmarkStart w:id="25" w:name="_Toc369531694"/>
      <w:bookmarkStart w:id="26" w:name="_Toc352691658"/>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369531695"/>
      <w:bookmarkStart w:id="28" w:name="_Toc16568"/>
      <w:bookmarkStart w:id="29" w:name="_Toc352691659"/>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16824"/>
      <w:bookmarkStart w:id="31" w:name="_Toc369531696"/>
      <w:bookmarkStart w:id="32" w:name="_Toc352691660"/>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152045787"/>
      <w:bookmarkStart w:id="34" w:name="_Toc144974856"/>
      <w:bookmarkStart w:id="35" w:name="_Toc369531697"/>
      <w:bookmarkStart w:id="36" w:name="_Toc300835209"/>
      <w:bookmarkStart w:id="37" w:name="_Toc352691661"/>
      <w:bookmarkStart w:id="38" w:name="_Toc247527827"/>
      <w:bookmarkStart w:id="39" w:name="_Toc17960"/>
      <w:bookmarkStart w:id="40" w:name="_Toc152042576"/>
      <w:bookmarkStart w:id="41" w:name="_Toc247514246"/>
      <w:bookmarkStart w:id="42" w:name="_Toc384308375"/>
      <w:bookmarkStart w:id="43" w:name="_Toc361508752"/>
      <w:r>
        <w:rPr>
          <w:rFonts w:hint="eastAsia" w:ascii="宋体" w:hAnsi="宋体" w:eastAsia="宋体" w:cs="Times New Roman"/>
          <w:b/>
          <w:sz w:val="24"/>
          <w:szCs w:val="24"/>
          <w:highlight w:val="none"/>
        </w:rPr>
        <w:br w:type="page"/>
      </w:r>
      <w:bookmarkStart w:id="44" w:name="_Toc458971245"/>
      <w:bookmarkStart w:id="45" w:name="_Toc457748054"/>
      <w:bookmarkStart w:id="46" w:name="_Toc392227908"/>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_Toc458971246"/>
      <w:bookmarkStart w:id="49" w:name="OLE_LINK2"/>
      <w:bookmarkStart w:id="50" w:name="OLE_LINK1"/>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Times New Roman" w:hAnsi="Times New Roman" w:eastAsia="宋体" w:cs="Times New Roman"/>
          <w:szCs w:val="21"/>
          <w:highlight w:val="none"/>
          <w:u w:val="single"/>
        </w:rPr>
        <w:t>不间断电源</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szCs w:val="21"/>
                <w:highlight w:val="none"/>
                <w:u w:val="none"/>
                <w:lang w:val="en-US" w:eastAsia="zh-CN"/>
              </w:rPr>
              <w:t>2026年临床研究一体化管理平台运维服务</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rFonts w:ascii="宋体" w:hAnsi="宋体" w:eastAsia="宋体" w:cs="Times New Roman"/>
          <w:szCs w:val="21"/>
          <w:highlight w:val="none"/>
        </w:rPr>
      </w:pPr>
    </w:p>
    <w:p>
      <w:pPr>
        <w:pStyle w:val="15"/>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457748057"/>
      <w:bookmarkStart w:id="52" w:name="_Toc458971250"/>
      <w:bookmarkStart w:id="53" w:name="_Toc392227913"/>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8971251"/>
      <w:bookmarkStart w:id="55" w:name="_Toc392227915"/>
      <w:bookmarkStart w:id="56" w:name="_Toc457748058"/>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457748059"/>
      <w:bookmarkStart w:id="58" w:name="_Toc392227916"/>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供应商资质（营业执照）</w:t>
      </w:r>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相关产品品牌有效授权函</w:t>
      </w:r>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3254B5C"/>
    <w:multiLevelType w:val="multilevel"/>
    <w:tmpl w:val="03254B5C"/>
    <w:lvl w:ilvl="0" w:tentative="0">
      <w:start w:val="1"/>
      <w:numFmt w:val="decimal"/>
      <w:lvlText w:val="（%1）"/>
      <w:lvlJc w:val="left"/>
      <w:pPr>
        <w:ind w:left="720"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3">
    <w:nsid w:val="04565C29"/>
    <w:multiLevelType w:val="singleLevel"/>
    <w:tmpl w:val="04565C29"/>
    <w:lvl w:ilvl="0" w:tentative="0">
      <w:start w:val="1"/>
      <w:numFmt w:val="decimal"/>
      <w:lvlText w:val="%1."/>
      <w:lvlJc w:val="left"/>
      <w:pPr>
        <w:ind w:left="425" w:hanging="425"/>
      </w:pPr>
      <w:rPr>
        <w:rFonts w:hint="default"/>
      </w:rPr>
    </w:lvl>
  </w:abstractNum>
  <w:abstractNum w:abstractNumId="4">
    <w:nsid w:val="27551838"/>
    <w:multiLevelType w:val="multilevel"/>
    <w:tmpl w:val="27551838"/>
    <w:lvl w:ilvl="0" w:tentative="0">
      <w:start w:val="1"/>
      <w:numFmt w:val="decimal"/>
      <w:lvlText w:val="%1"/>
      <w:lvlJc w:val="left"/>
      <w:pPr>
        <w:ind w:left="425" w:hanging="425"/>
      </w:pPr>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30B8D821"/>
    <w:multiLevelType w:val="singleLevel"/>
    <w:tmpl w:val="30B8D821"/>
    <w:lvl w:ilvl="0" w:tentative="0">
      <w:start w:val="5"/>
      <w:numFmt w:val="decimal"/>
      <w:lvlText w:val="%1."/>
      <w:lvlJc w:val="left"/>
      <w:pPr>
        <w:tabs>
          <w:tab w:val="left" w:pos="312"/>
        </w:tabs>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6E6EE7"/>
    <w:rsid w:val="0E2C0D95"/>
    <w:rsid w:val="14E8004D"/>
    <w:rsid w:val="1D9A3ED2"/>
    <w:rsid w:val="1E232D73"/>
    <w:rsid w:val="206155F1"/>
    <w:rsid w:val="24095163"/>
    <w:rsid w:val="2C3F59DE"/>
    <w:rsid w:val="32830083"/>
    <w:rsid w:val="5037561D"/>
    <w:rsid w:val="56C44DE2"/>
    <w:rsid w:val="5B4359C7"/>
    <w:rsid w:val="6F0A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 w:type="character" w:customStyle="1" w:styleId="212">
    <w:name w:val="font61"/>
    <w:basedOn w:val="3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5806</Words>
  <Characters>6295</Characters>
  <Lines>53</Lines>
  <Paragraphs>15</Paragraphs>
  <TotalTime>0</TotalTime>
  <ScaleCrop>false</ScaleCrop>
  <LinksUpToDate>false</LinksUpToDate>
  <CharactersWithSpaces>7416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2026-04-08T07:50:34Z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