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05</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芷江路华为机房维护</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05</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27</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05</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29</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05日</w:t>
      </w:r>
      <w:bookmarkStart w:id="61" w:name="_GoBack"/>
      <w:bookmarkEnd w:id="61"/>
      <w:r>
        <w:rPr>
          <w:rFonts w:hint="eastAsia" w:ascii="宋体" w:hAnsi="宋体" w:eastAsia="宋体" w:cs="Times New Roman"/>
          <w:sz w:val="24"/>
          <w:szCs w:val="24"/>
          <w:highlight w:val="none"/>
        </w:rPr>
        <w:t>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516880880"/>
      <w:bookmarkStart w:id="10" w:name="_Toc9066359"/>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芷江路华为机房维护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供应商应按《竞争性谈判通知书》要求填写技术规格响应/偏离表、商务条款响应/偏离表。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份（包含：</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.全套投标文件正本（加盖公章）：</w:t>
            </w:r>
            <w:r>
              <w:rPr>
                <w:rFonts w:hint="eastAsia" w:ascii="Times New Roman" w:hAnsi="Times New Roman" w:eastAsia="宋体" w:cs="Times New Roman"/>
                <w:sz w:val="24"/>
                <w:szCs w:val="20"/>
                <w:highlight w:val="none"/>
              </w:rPr>
              <w:t>PDF</w:t>
            </w:r>
            <w:r>
              <w:rPr>
                <w:rFonts w:hint="eastAsia" w:ascii="宋体" w:hAnsi="宋体" w:eastAsia="宋体" w:cs="Times New Roman"/>
                <w:sz w:val="24"/>
                <w:szCs w:val="20"/>
                <w:highlight w:val="none"/>
              </w:rPr>
              <w:t>格式；</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.技术偏离表：</w:t>
            </w:r>
            <w:r>
              <w:rPr>
                <w:rFonts w:hint="eastAsia" w:ascii="Times New Roman" w:hAnsi="Times New Roman" w:eastAsia="宋体" w:cs="Times New Roman"/>
                <w:sz w:val="24"/>
                <w:szCs w:val="20"/>
                <w:highlight w:val="none"/>
              </w:rPr>
              <w:t>excel</w:t>
            </w:r>
            <w:r>
              <w:rPr>
                <w:rFonts w:hint="eastAsia" w:ascii="宋体" w:hAnsi="宋体" w:eastAsia="宋体" w:cs="Times New Roman"/>
                <w:sz w:val="24"/>
                <w:szCs w:val="20"/>
                <w:highlight w:val="none"/>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p>
      <w:pPr>
        <w:pStyle w:val="3"/>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一、</w:t>
      </w:r>
      <w:r>
        <w:rPr>
          <w:rFonts w:hint="eastAsia" w:ascii="宋体" w:hAnsi="宋体" w:eastAsia="宋体" w:cs="宋体"/>
          <w:color w:val="auto"/>
          <w:sz w:val="24"/>
          <w:szCs w:val="24"/>
        </w:rPr>
        <w:t>总体建设目标</w:t>
      </w:r>
    </w:p>
    <w:p>
      <w:pPr>
        <w:spacing w:before="156" w:beforeLines="50" w:after="156" w:afterLines="50" w:line="360" w:lineRule="auto"/>
        <w:ind w:firstLine="420" w:firstLineChars="200"/>
        <w:rPr>
          <w:rFonts w:hint="eastAsia" w:ascii="宋体" w:hAnsi="宋体" w:eastAsia="宋体" w:cs="宋体"/>
          <w:sz w:val="21"/>
          <w:szCs w:val="21"/>
        </w:rPr>
      </w:pPr>
      <w:r>
        <w:rPr>
          <w:rFonts w:hint="eastAsia" w:ascii="宋体" w:hAnsi="宋体" w:eastAsia="宋体" w:cs="宋体"/>
          <w:lang w:val="en-US" w:eastAsia="zh-CN"/>
        </w:rPr>
        <w:t>上海市中医医院芷江路院区模块化机房内低压配电柜、UPS（蓄电池除外）、精密空调、监控设备、环境监控管理设备，机柜及冷通道系统。为了使设备保持良好的运行状态，使管理人员能全面了解并掌握机房设备、系统的运行及使用状况，得到及时、高效、优质的系统维修服务，提高设备对电源的保障可靠性，延长设备的使用寿命，降低机房设备的运行风险，需要专业的维护服务团队，定期对设备进行专业性巡检维护。</w:t>
      </w:r>
    </w:p>
    <w:p>
      <w:pPr>
        <w:pStyle w:val="3"/>
        <w:spacing w:before="156" w:beforeLines="50" w:after="156" w:afterLines="50"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二、</w:t>
      </w:r>
      <w:r>
        <w:rPr>
          <w:rFonts w:hint="eastAsia" w:ascii="宋体" w:hAnsi="宋体" w:eastAsia="宋体" w:cs="宋体"/>
          <w:sz w:val="24"/>
          <w:szCs w:val="24"/>
        </w:rPr>
        <w:t xml:space="preserve"> </w:t>
      </w:r>
      <w:r>
        <w:rPr>
          <w:rFonts w:hint="eastAsia" w:ascii="宋体" w:hAnsi="宋体" w:eastAsia="宋体" w:cs="宋体"/>
          <w:color w:val="auto"/>
          <w:sz w:val="24"/>
          <w:szCs w:val="24"/>
          <w:lang w:val="en-US" w:eastAsia="zh-CN"/>
        </w:rPr>
        <w:t>项目内容</w:t>
      </w:r>
    </w:p>
    <w:bookmarkEnd w:id="12"/>
    <w:bookmarkEnd w:id="13"/>
    <w:tbl>
      <w:tblPr>
        <w:tblStyle w:val="31"/>
        <w:tblW w:w="10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2168"/>
        <w:gridCol w:w="4895"/>
        <w:gridCol w:w="1523"/>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szCs w:val="21"/>
                <w:highlight w:val="none"/>
              </w:rPr>
            </w:pPr>
            <w:bookmarkStart w:id="14" w:name="_Toc11326096"/>
            <w:r>
              <w:rPr>
                <w:rFonts w:hint="eastAsia" w:ascii="宋体" w:hAnsi="宋体" w:eastAsia="宋体" w:cs="宋体"/>
                <w:b/>
                <w:szCs w:val="21"/>
                <w:highlight w:val="none"/>
              </w:rPr>
              <w:t>序号</w:t>
            </w:r>
          </w:p>
        </w:tc>
        <w:tc>
          <w:tcPr>
            <w:tcW w:w="2168" w:type="dxa"/>
            <w:noWrap w:val="0"/>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4895" w:type="dxa"/>
            <w:noWrap w:val="0"/>
            <w:vAlign w:val="center"/>
          </w:tcPr>
          <w:p>
            <w:pPr>
              <w:spacing w:line="360" w:lineRule="auto"/>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1523" w:type="dxa"/>
            <w:noWrap w:val="0"/>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1164" w:type="dxa"/>
            <w:noWrap w:val="0"/>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sz w:val="21"/>
                <w:szCs w:val="21"/>
                <w:highlight w:val="none"/>
                <w:lang w:val="en-US" w:eastAsia="zh-CN"/>
              </w:rPr>
            </w:pPr>
          </w:p>
        </w:tc>
        <w:tc>
          <w:tcPr>
            <w:tcW w:w="9750" w:type="dxa"/>
            <w:gridSpan w:val="4"/>
            <w:noWrap w:val="0"/>
            <w:vAlign w:val="center"/>
          </w:tcPr>
          <w:p>
            <w:pPr>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总体需求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w:t>
            </w:r>
          </w:p>
        </w:tc>
        <w:tc>
          <w:tcPr>
            <w:tcW w:w="2168" w:type="dxa"/>
            <w:noWrap w:val="0"/>
            <w:vAlign w:val="center"/>
          </w:tcPr>
          <w:p>
            <w:pPr>
              <w:spacing w:line="360" w:lineRule="auto"/>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服务范围</w:t>
            </w:r>
          </w:p>
        </w:tc>
        <w:tc>
          <w:tcPr>
            <w:tcW w:w="4895" w:type="dxa"/>
            <w:noWrap w:val="0"/>
            <w:vAlign w:val="center"/>
          </w:tcPr>
          <w:p>
            <w:pPr>
              <w:spacing w:line="360" w:lineRule="auto"/>
              <w:jc w:val="left"/>
              <w:rPr>
                <w:rFonts w:hint="eastAsia" w:ascii="宋体" w:hAnsi="宋体" w:eastAsia="宋体" w:cs="宋体"/>
                <w:b w:val="0"/>
                <w:bCs/>
                <w:color w:val="auto"/>
                <w:sz w:val="21"/>
                <w:szCs w:val="21"/>
              </w:rPr>
            </w:pPr>
            <w:r>
              <w:rPr>
                <w:rFonts w:hint="eastAsia" w:ascii="宋体" w:hAnsi="宋体" w:eastAsia="宋体" w:cs="宋体"/>
              </w:rPr>
              <w:t>本维保服务项目主要针对上海市中医医院</w:t>
            </w:r>
            <w:r>
              <w:rPr>
                <w:rFonts w:hint="eastAsia" w:ascii="宋体" w:hAnsi="宋体" w:eastAsia="宋体" w:cs="宋体"/>
                <w:lang w:val="en-US" w:eastAsia="zh-CN"/>
              </w:rPr>
              <w:t>芷江路院区模块化</w:t>
            </w:r>
            <w:r>
              <w:rPr>
                <w:rFonts w:hint="eastAsia" w:ascii="宋体" w:hAnsi="宋体" w:eastAsia="宋体" w:cs="宋体"/>
              </w:rPr>
              <w:t>机房内低压配电柜、UPS（蓄电池除外）、精密空调、监控设备、环境监控管理设备，机柜及冷通道系统。并根据院方信息部门的需要提供专业性的培训</w:t>
            </w:r>
          </w:p>
        </w:tc>
        <w:tc>
          <w:tcPr>
            <w:tcW w:w="1523" w:type="dxa"/>
            <w:noWrap w:val="0"/>
            <w:vAlign w:val="center"/>
          </w:tcPr>
          <w:p>
            <w:pPr>
              <w:spacing w:line="360" w:lineRule="auto"/>
              <w:jc w:val="center"/>
              <w:rPr>
                <w:rFonts w:hint="eastAsia" w:ascii="宋体" w:hAnsi="宋体" w:eastAsia="宋体" w:cs="宋体"/>
                <w:b/>
                <w:sz w:val="21"/>
                <w:szCs w:val="21"/>
                <w:highlight w:val="none"/>
                <w:lang w:val="en-US" w:eastAsia="zh-CN"/>
              </w:rPr>
            </w:pPr>
          </w:p>
        </w:tc>
        <w:tc>
          <w:tcPr>
            <w:tcW w:w="1164" w:type="dxa"/>
            <w:noWrap w:val="0"/>
            <w:vAlign w:val="center"/>
          </w:tcPr>
          <w:p>
            <w:pPr>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w:t>
            </w:r>
          </w:p>
        </w:tc>
        <w:tc>
          <w:tcPr>
            <w:tcW w:w="2168" w:type="dxa"/>
            <w:noWrap w:val="0"/>
            <w:vAlign w:val="center"/>
          </w:tcPr>
          <w:p>
            <w:pPr>
              <w:spacing w:line="360" w:lineRule="auto"/>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服务周期</w:t>
            </w:r>
          </w:p>
        </w:tc>
        <w:tc>
          <w:tcPr>
            <w:tcW w:w="4895" w:type="dxa"/>
            <w:noWrap w:val="0"/>
            <w:vAlign w:val="center"/>
          </w:tcPr>
          <w:p>
            <w:pPr>
              <w:spacing w:line="360" w:lineRule="auto"/>
              <w:jc w:val="left"/>
              <w:rPr>
                <w:rFonts w:hint="eastAsia" w:ascii="宋体" w:hAnsi="宋体" w:eastAsia="宋体" w:cs="宋体"/>
                <w:b/>
                <w:sz w:val="21"/>
                <w:szCs w:val="21"/>
                <w:highlight w:val="none"/>
                <w:lang w:val="en-US" w:eastAsia="zh-CN"/>
              </w:rPr>
            </w:pPr>
            <w:r>
              <w:rPr>
                <w:rFonts w:hint="eastAsia" w:ascii="宋体" w:hAnsi="宋体" w:eastAsia="宋体" w:cs="宋体"/>
                <w:b w:val="0"/>
                <w:bCs/>
                <w:color w:val="auto"/>
                <w:sz w:val="21"/>
                <w:szCs w:val="21"/>
              </w:rPr>
              <w:t>202</w:t>
            </w:r>
            <w:r>
              <w:rPr>
                <w:rFonts w:hint="eastAsia" w:ascii="宋体" w:hAnsi="宋体" w:eastAsia="宋体" w:cs="宋体"/>
                <w:b w:val="0"/>
                <w:bCs/>
                <w:color w:val="auto"/>
                <w:sz w:val="21"/>
                <w:szCs w:val="21"/>
                <w:lang w:val="en-US" w:eastAsia="zh-CN"/>
              </w:rPr>
              <w:t>6年0</w:t>
            </w:r>
            <w:r>
              <w:rPr>
                <w:rFonts w:hint="eastAsia" w:ascii="宋体" w:hAnsi="宋体" w:eastAsia="宋体" w:cs="宋体"/>
                <w:b w:val="0"/>
                <w:bCs/>
                <w:color w:val="auto"/>
                <w:sz w:val="21"/>
                <w:szCs w:val="21"/>
              </w:rPr>
              <w:t>7</w:t>
            </w:r>
            <w:r>
              <w:rPr>
                <w:rFonts w:hint="eastAsia" w:ascii="宋体" w:hAnsi="宋体" w:eastAsia="宋体" w:cs="宋体"/>
                <w:b w:val="0"/>
                <w:bCs/>
                <w:color w:val="auto"/>
                <w:sz w:val="21"/>
                <w:szCs w:val="21"/>
                <w:lang w:val="en-US" w:eastAsia="zh-CN"/>
              </w:rPr>
              <w:t>月0</w:t>
            </w:r>
            <w:r>
              <w:rPr>
                <w:rFonts w:hint="eastAsia" w:ascii="宋体" w:hAnsi="宋体" w:eastAsia="宋体" w:cs="宋体"/>
                <w:b w:val="0"/>
                <w:bCs/>
                <w:color w:val="auto"/>
                <w:sz w:val="21"/>
                <w:szCs w:val="21"/>
              </w:rPr>
              <w:t>1</w:t>
            </w:r>
            <w:r>
              <w:rPr>
                <w:rFonts w:hint="eastAsia" w:ascii="宋体" w:hAnsi="宋体" w:eastAsia="宋体" w:cs="宋体"/>
                <w:b w:val="0"/>
                <w:bCs/>
                <w:color w:val="auto"/>
                <w:sz w:val="21"/>
                <w:szCs w:val="21"/>
                <w:lang w:val="en-US" w:eastAsia="zh-CN"/>
              </w:rPr>
              <w:t>日至</w:t>
            </w:r>
            <w:r>
              <w:rPr>
                <w:rFonts w:hint="eastAsia" w:ascii="宋体" w:hAnsi="宋体" w:eastAsia="宋体" w:cs="宋体"/>
                <w:b w:val="0"/>
                <w:bCs/>
                <w:color w:val="auto"/>
                <w:sz w:val="21"/>
                <w:szCs w:val="21"/>
              </w:rPr>
              <w:t>202</w:t>
            </w:r>
            <w:r>
              <w:rPr>
                <w:rFonts w:hint="eastAsia" w:ascii="宋体" w:hAnsi="宋体" w:eastAsia="宋体" w:cs="宋体"/>
                <w:b w:val="0"/>
                <w:bCs/>
                <w:color w:val="auto"/>
                <w:sz w:val="21"/>
                <w:szCs w:val="21"/>
                <w:lang w:val="en-US" w:eastAsia="zh-CN"/>
              </w:rPr>
              <w:t>7年</w:t>
            </w:r>
            <w:r>
              <w:rPr>
                <w:rFonts w:hint="eastAsia" w:ascii="宋体" w:hAnsi="宋体" w:eastAsia="宋体" w:cs="宋体"/>
                <w:b w:val="0"/>
                <w:bCs/>
                <w:color w:val="auto"/>
                <w:sz w:val="21"/>
                <w:szCs w:val="21"/>
              </w:rPr>
              <w:t>06</w:t>
            </w:r>
            <w:r>
              <w:rPr>
                <w:rFonts w:hint="eastAsia" w:ascii="宋体" w:hAnsi="宋体" w:eastAsia="宋体" w:cs="宋体"/>
                <w:b w:val="0"/>
                <w:bCs/>
                <w:color w:val="auto"/>
                <w:sz w:val="21"/>
                <w:szCs w:val="21"/>
                <w:lang w:val="en-US" w:eastAsia="zh-CN"/>
              </w:rPr>
              <w:t>月</w:t>
            </w:r>
            <w:r>
              <w:rPr>
                <w:rFonts w:hint="eastAsia" w:ascii="宋体" w:hAnsi="宋体" w:eastAsia="宋体" w:cs="宋体"/>
                <w:b w:val="0"/>
                <w:bCs/>
                <w:color w:val="auto"/>
                <w:sz w:val="21"/>
                <w:szCs w:val="21"/>
              </w:rPr>
              <w:t>30</w:t>
            </w:r>
            <w:r>
              <w:rPr>
                <w:rFonts w:hint="eastAsia" w:ascii="宋体" w:hAnsi="宋体" w:eastAsia="宋体" w:cs="宋体"/>
                <w:b w:val="0"/>
                <w:bCs/>
                <w:color w:val="auto"/>
                <w:sz w:val="21"/>
                <w:szCs w:val="21"/>
                <w:lang w:val="en-US" w:eastAsia="zh-CN"/>
              </w:rPr>
              <w:t>日</w:t>
            </w:r>
          </w:p>
        </w:tc>
        <w:tc>
          <w:tcPr>
            <w:tcW w:w="1523" w:type="dxa"/>
            <w:noWrap w:val="0"/>
            <w:vAlign w:val="center"/>
          </w:tcPr>
          <w:p>
            <w:pPr>
              <w:spacing w:line="360" w:lineRule="auto"/>
              <w:jc w:val="center"/>
              <w:rPr>
                <w:rFonts w:hint="eastAsia" w:ascii="宋体" w:hAnsi="宋体" w:eastAsia="宋体" w:cs="宋体"/>
                <w:b/>
                <w:sz w:val="21"/>
                <w:szCs w:val="21"/>
                <w:highlight w:val="none"/>
                <w:lang w:val="en-US" w:eastAsia="zh-CN"/>
              </w:rPr>
            </w:pPr>
          </w:p>
        </w:tc>
        <w:tc>
          <w:tcPr>
            <w:tcW w:w="1164" w:type="dxa"/>
            <w:noWrap w:val="0"/>
            <w:vAlign w:val="center"/>
          </w:tcPr>
          <w:p>
            <w:pPr>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w:t>
            </w:r>
          </w:p>
        </w:tc>
        <w:tc>
          <w:tcPr>
            <w:tcW w:w="2168" w:type="dxa"/>
            <w:noWrap w:val="0"/>
            <w:vAlign w:val="center"/>
          </w:tcPr>
          <w:p>
            <w:pPr>
              <w:spacing w:line="360" w:lineRule="auto"/>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应急响应</w:t>
            </w:r>
          </w:p>
        </w:tc>
        <w:tc>
          <w:tcPr>
            <w:tcW w:w="4895" w:type="dxa"/>
            <w:noWrap w:val="0"/>
            <w:vAlign w:val="center"/>
          </w:tcPr>
          <w:p>
            <w:pPr>
              <w:spacing w:line="360" w:lineRule="auto"/>
              <w:jc w:val="left"/>
              <w:rPr>
                <w:rFonts w:hint="eastAsia" w:ascii="宋体" w:hAnsi="宋体" w:eastAsia="宋体" w:cs="宋体"/>
                <w:b/>
                <w:sz w:val="21"/>
                <w:szCs w:val="21"/>
                <w:highlight w:val="none"/>
                <w:lang w:val="en-US" w:eastAsia="zh-CN"/>
              </w:rPr>
            </w:pPr>
            <w:r>
              <w:rPr>
                <w:rFonts w:hint="eastAsia" w:ascii="宋体" w:hAnsi="宋体" w:eastAsia="宋体" w:cs="宋体"/>
              </w:rPr>
              <w:t>提供</w:t>
            </w:r>
            <w:r>
              <w:rPr>
                <w:rFonts w:hint="eastAsia" w:ascii="宋体" w:hAnsi="宋体" w:eastAsia="宋体" w:cs="宋体"/>
                <w:lang w:val="en-US" w:eastAsia="zh-CN"/>
              </w:rPr>
              <w:t>模块化</w:t>
            </w:r>
            <w:r>
              <w:rPr>
                <w:rFonts w:hint="eastAsia" w:ascii="宋体" w:hAnsi="宋体" w:eastAsia="宋体" w:cs="宋体"/>
              </w:rPr>
              <w:t>机房基础设施7*24小时应急电话响应，设备故障第三方服务商工程师4小时到现场，不分工作时间与非工作时间</w:t>
            </w:r>
          </w:p>
        </w:tc>
        <w:tc>
          <w:tcPr>
            <w:tcW w:w="1523" w:type="dxa"/>
            <w:noWrap w:val="0"/>
            <w:vAlign w:val="center"/>
          </w:tcPr>
          <w:p>
            <w:pPr>
              <w:spacing w:line="360" w:lineRule="auto"/>
              <w:jc w:val="center"/>
              <w:rPr>
                <w:rFonts w:hint="eastAsia" w:ascii="宋体" w:hAnsi="宋体" w:eastAsia="宋体" w:cs="宋体"/>
                <w:b/>
                <w:sz w:val="21"/>
                <w:szCs w:val="21"/>
                <w:highlight w:val="none"/>
                <w:lang w:val="en-US" w:eastAsia="zh-CN"/>
              </w:rPr>
            </w:pPr>
          </w:p>
        </w:tc>
        <w:tc>
          <w:tcPr>
            <w:tcW w:w="1164" w:type="dxa"/>
            <w:noWrap w:val="0"/>
            <w:vAlign w:val="center"/>
          </w:tcPr>
          <w:p>
            <w:pPr>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spacing w:line="360" w:lineRule="auto"/>
              <w:jc w:val="center"/>
              <w:rPr>
                <w:rFonts w:hint="eastAsia" w:ascii="宋体" w:hAnsi="宋体" w:eastAsia="宋体" w:cs="宋体"/>
                <w:b/>
                <w:sz w:val="21"/>
                <w:szCs w:val="21"/>
                <w:highlight w:val="none"/>
                <w:lang w:val="en-US" w:eastAsia="zh-CN"/>
              </w:rPr>
            </w:pPr>
            <w:r>
              <w:rPr>
                <w:rFonts w:hint="eastAsia" w:ascii="宋体" w:hAnsi="宋体" w:eastAsia="宋体" w:cs="宋体"/>
                <w:b w:val="0"/>
                <w:bCs/>
                <w:sz w:val="21"/>
                <w:szCs w:val="21"/>
                <w:highlight w:val="none"/>
                <w:lang w:val="en-US" w:eastAsia="zh-CN"/>
              </w:rPr>
              <w:t>4</w:t>
            </w:r>
          </w:p>
        </w:tc>
        <w:tc>
          <w:tcPr>
            <w:tcW w:w="2168" w:type="dxa"/>
            <w:noWrap w:val="0"/>
            <w:vAlign w:val="center"/>
          </w:tcPr>
          <w:p>
            <w:pPr>
              <w:spacing w:line="360" w:lineRule="auto"/>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备件</w:t>
            </w:r>
          </w:p>
        </w:tc>
        <w:tc>
          <w:tcPr>
            <w:tcW w:w="4895" w:type="dxa"/>
            <w:noWrap w:val="0"/>
            <w:vAlign w:val="center"/>
          </w:tcPr>
          <w:p>
            <w:pPr>
              <w:spacing w:line="360" w:lineRule="auto"/>
              <w:jc w:val="left"/>
              <w:rPr>
                <w:rFonts w:hint="eastAsia" w:ascii="宋体" w:hAnsi="宋体" w:eastAsia="宋体" w:cs="宋体"/>
                <w:b/>
                <w:sz w:val="21"/>
                <w:szCs w:val="21"/>
                <w:highlight w:val="none"/>
                <w:lang w:val="en-US" w:eastAsia="zh-CN"/>
              </w:rPr>
            </w:pPr>
            <w:r>
              <w:rPr>
                <w:rFonts w:hint="eastAsia" w:ascii="宋体" w:hAnsi="宋体" w:eastAsia="宋体" w:cs="宋体"/>
              </w:rPr>
              <w:t>服务工程师到现场判断设备故障需更换备件，提供设备原厂备件48小时内（从第三方工程师确认需要更换备件之时起计时）到现场服务，一般事故备件到现场后，由第三方服务商工程师到现场更换备件。如遇到重大紧急事故（例如UPS整机故障坏死等），必须由原厂工程师到现场替换备件</w:t>
            </w:r>
            <w:r>
              <w:rPr>
                <w:rFonts w:hint="eastAsia" w:ascii="宋体" w:hAnsi="宋体" w:eastAsia="宋体" w:cs="宋体"/>
                <w:lang w:eastAsia="zh-CN"/>
              </w:rPr>
              <w:t>，</w:t>
            </w:r>
            <w:r>
              <w:rPr>
                <w:rFonts w:hint="eastAsia" w:ascii="宋体" w:hAnsi="宋体" w:eastAsia="宋体" w:cs="宋体"/>
                <w:lang w:val="en-US" w:eastAsia="zh-CN"/>
              </w:rPr>
              <w:t>备件更换包含在该运维合同中</w:t>
            </w:r>
            <w:r>
              <w:rPr>
                <w:rFonts w:hint="eastAsia" w:ascii="宋体" w:hAnsi="宋体" w:eastAsia="宋体" w:cs="宋体"/>
              </w:rPr>
              <w:t>（蓄电池除外）</w:t>
            </w:r>
          </w:p>
        </w:tc>
        <w:tc>
          <w:tcPr>
            <w:tcW w:w="1523" w:type="dxa"/>
            <w:noWrap w:val="0"/>
            <w:vAlign w:val="center"/>
          </w:tcPr>
          <w:p>
            <w:pPr>
              <w:spacing w:line="360" w:lineRule="auto"/>
              <w:jc w:val="center"/>
              <w:rPr>
                <w:rFonts w:hint="eastAsia" w:ascii="宋体" w:hAnsi="宋体" w:eastAsia="宋体" w:cs="宋体"/>
                <w:b/>
                <w:sz w:val="21"/>
                <w:szCs w:val="21"/>
                <w:highlight w:val="none"/>
                <w:lang w:val="en-US" w:eastAsia="zh-CN"/>
              </w:rPr>
            </w:pPr>
          </w:p>
        </w:tc>
        <w:tc>
          <w:tcPr>
            <w:tcW w:w="1164" w:type="dxa"/>
            <w:noWrap w:val="0"/>
            <w:vAlign w:val="center"/>
          </w:tcPr>
          <w:p>
            <w:pPr>
              <w:spacing w:line="360" w:lineRule="auto"/>
              <w:jc w:val="center"/>
              <w:rPr>
                <w:rFonts w:hint="eastAsia" w:ascii="宋体" w:hAnsi="宋体" w:eastAsia="宋体" w:cs="宋体"/>
                <w:b/>
                <w:sz w:val="21"/>
                <w:szCs w:val="21"/>
                <w:highlight w:val="none"/>
              </w:rPr>
            </w:pPr>
          </w:p>
        </w:tc>
      </w:tr>
    </w:tbl>
    <w:p>
      <w:pPr>
        <w:numPr>
          <w:ilvl w:val="0"/>
          <w:numId w:val="0"/>
        </w:numPr>
        <w:jc w:val="both"/>
        <w:rPr>
          <w:rFonts w:hint="eastAsia" w:ascii="宋体" w:hAnsi="宋体" w:eastAsia="宋体" w:cs="宋体"/>
          <w:b/>
          <w:bCs/>
          <w:color w:val="auto"/>
          <w:kern w:val="2"/>
          <w:sz w:val="24"/>
          <w:szCs w:val="24"/>
          <w:lang w:val="en-US" w:eastAsia="zh-CN" w:bidi="ar-SA"/>
        </w:rPr>
      </w:pPr>
    </w:p>
    <w:p>
      <w:pPr>
        <w:numPr>
          <w:ilvl w:val="0"/>
          <w:numId w:val="0"/>
        </w:numPr>
        <w:jc w:val="both"/>
        <w:rPr>
          <w:rFonts w:hint="eastAsia" w:ascii="宋体" w:hAnsi="宋体" w:eastAsia="宋体" w:cs="宋体"/>
          <w:b/>
          <w:bCs/>
          <w:color w:val="auto"/>
          <w:kern w:val="2"/>
          <w:sz w:val="24"/>
          <w:szCs w:val="24"/>
          <w:lang w:val="en-US" w:eastAsia="zh-CN" w:bidi="ar-SA"/>
        </w:rPr>
      </w:pPr>
    </w:p>
    <w:p>
      <w:pPr>
        <w:numPr>
          <w:ilvl w:val="0"/>
          <w:numId w:val="4"/>
        </w:numPr>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项目服务设备清单</w:t>
      </w:r>
    </w:p>
    <w:tbl>
      <w:tblPr>
        <w:tblStyle w:val="31"/>
        <w:tblW w:w="89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260"/>
        <w:gridCol w:w="2160"/>
        <w:gridCol w:w="1253"/>
        <w:gridCol w:w="1134"/>
        <w:gridCol w:w="31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126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机房名称</w:t>
            </w:r>
          </w:p>
        </w:tc>
        <w:tc>
          <w:tcPr>
            <w:tcW w:w="2160" w:type="dxa"/>
            <w:tcBorders>
              <w:top w:val="single" w:color="auto" w:sz="8" w:space="0"/>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设备名称</w:t>
            </w:r>
          </w:p>
        </w:tc>
        <w:tc>
          <w:tcPr>
            <w:tcW w:w="1253" w:type="dxa"/>
            <w:tcBorders>
              <w:top w:val="single" w:color="auto" w:sz="8" w:space="0"/>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设备数量</w:t>
            </w:r>
          </w:p>
        </w:tc>
        <w:tc>
          <w:tcPr>
            <w:tcW w:w="1134" w:type="dxa"/>
            <w:tcBorders>
              <w:top w:val="single" w:color="auto" w:sz="8" w:space="0"/>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品牌</w:t>
            </w:r>
          </w:p>
        </w:tc>
        <w:tc>
          <w:tcPr>
            <w:tcW w:w="3119" w:type="dxa"/>
            <w:tcBorders>
              <w:top w:val="single" w:color="auto" w:sz="8" w:space="0"/>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60"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数据机房</w:t>
            </w:r>
          </w:p>
        </w:tc>
        <w:tc>
          <w:tcPr>
            <w:tcW w:w="2160"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UPS</w:t>
            </w:r>
          </w:p>
        </w:tc>
        <w:tc>
          <w:tcPr>
            <w:tcW w:w="1253"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2</w:t>
            </w:r>
          </w:p>
        </w:tc>
        <w:tc>
          <w:tcPr>
            <w:tcW w:w="1134"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华为</w:t>
            </w:r>
          </w:p>
        </w:tc>
        <w:tc>
          <w:tcPr>
            <w:tcW w:w="3119"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UPS5000-E-</w:t>
            </w:r>
            <w:r>
              <w:rPr>
                <w:rFonts w:hint="eastAsia"/>
                <w:lang w:val="en-US" w:eastAsia="zh-CN"/>
              </w:rPr>
              <w:t>120</w:t>
            </w:r>
            <w:r>
              <w:rPr>
                <w:rFonts w:hint="eastAsia"/>
              </w:rPr>
              <w:t>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60"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bidi w:val="0"/>
              <w:rPr>
                <w:rFonts w:hint="eastAsia"/>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精密空调</w:t>
            </w:r>
          </w:p>
        </w:tc>
        <w:tc>
          <w:tcPr>
            <w:tcW w:w="1253"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eastAsia="宋体"/>
                <w:lang w:val="en-US" w:eastAsia="zh-CN"/>
              </w:rPr>
            </w:pPr>
            <w:r>
              <w:rPr>
                <w:rFonts w:hint="eastAsia"/>
                <w:lang w:val="en-US" w:eastAsia="zh-CN"/>
              </w:rPr>
              <w:t>3</w:t>
            </w:r>
          </w:p>
        </w:tc>
        <w:tc>
          <w:tcPr>
            <w:tcW w:w="1134"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华为</w:t>
            </w:r>
          </w:p>
        </w:tc>
        <w:tc>
          <w:tcPr>
            <w:tcW w:w="3119"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NetCol5000-A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60"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bidi w:val="0"/>
              <w:rPr>
                <w:rFonts w:hint="eastAsia"/>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空调室外机</w:t>
            </w:r>
          </w:p>
        </w:tc>
        <w:tc>
          <w:tcPr>
            <w:tcW w:w="1253"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eastAsia="宋体"/>
                <w:lang w:val="en-US" w:eastAsia="zh-CN"/>
              </w:rPr>
            </w:pPr>
            <w:r>
              <w:rPr>
                <w:rFonts w:hint="eastAsia"/>
                <w:lang w:val="en-US" w:eastAsia="zh-CN"/>
              </w:rPr>
              <w:t>3</w:t>
            </w:r>
          </w:p>
        </w:tc>
        <w:tc>
          <w:tcPr>
            <w:tcW w:w="1134"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华为</w:t>
            </w:r>
          </w:p>
        </w:tc>
        <w:tc>
          <w:tcPr>
            <w:tcW w:w="3119"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NetCol500-A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60"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bidi w:val="0"/>
              <w:rPr>
                <w:rFonts w:hint="eastAsia"/>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数据采集</w:t>
            </w:r>
          </w:p>
        </w:tc>
        <w:tc>
          <w:tcPr>
            <w:tcW w:w="1253"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default" w:eastAsia="宋体"/>
                <w:lang w:val="en-US" w:eastAsia="zh-CN"/>
              </w:rPr>
            </w:pPr>
            <w:r>
              <w:rPr>
                <w:rFonts w:hint="eastAsia"/>
                <w:lang w:val="en-US" w:eastAsia="zh-CN"/>
              </w:rPr>
              <w:t>1</w:t>
            </w:r>
          </w:p>
        </w:tc>
        <w:tc>
          <w:tcPr>
            <w:tcW w:w="1134"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华为</w:t>
            </w:r>
          </w:p>
        </w:tc>
        <w:tc>
          <w:tcPr>
            <w:tcW w:w="3119"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ECC800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60"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bidi w:val="0"/>
              <w:rPr>
                <w:rFonts w:hint="eastAsia"/>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机柜及冷通道</w:t>
            </w:r>
          </w:p>
        </w:tc>
        <w:tc>
          <w:tcPr>
            <w:tcW w:w="1253"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eastAsia="宋体"/>
                <w:lang w:val="en-US" w:eastAsia="zh-CN"/>
              </w:rPr>
            </w:pPr>
            <w:r>
              <w:rPr>
                <w:rFonts w:hint="eastAsia"/>
                <w:lang w:val="en-US" w:eastAsia="zh-CN"/>
              </w:rPr>
              <w:t>1</w:t>
            </w:r>
          </w:p>
        </w:tc>
        <w:tc>
          <w:tcPr>
            <w:tcW w:w="1134"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华为</w:t>
            </w:r>
          </w:p>
        </w:tc>
        <w:tc>
          <w:tcPr>
            <w:tcW w:w="3119" w:type="dxa"/>
            <w:tcBorders>
              <w:top w:val="nil"/>
              <w:left w:val="nil"/>
              <w:bottom w:val="single" w:color="auto" w:sz="8" w:space="0"/>
              <w:right w:val="single" w:color="auto" w:sz="8" w:space="0"/>
            </w:tcBorders>
            <w:noWrap w:val="0"/>
            <w:tcMar>
              <w:left w:w="108" w:type="dxa"/>
              <w:right w:w="108" w:type="dxa"/>
            </w:tcMar>
            <w:vAlign w:val="center"/>
          </w:tcPr>
          <w:p>
            <w:pPr>
              <w:bidi w:val="0"/>
              <w:jc w:val="center"/>
              <w:rPr>
                <w:rFonts w:hint="eastAsia"/>
              </w:rPr>
            </w:pPr>
            <w:r>
              <w:rPr>
                <w:rFonts w:hint="eastAsia"/>
              </w:rPr>
              <w:t>FusionModule2000</w:t>
            </w:r>
          </w:p>
        </w:tc>
      </w:tr>
    </w:tbl>
    <w:p>
      <w:pPr>
        <w:numPr>
          <w:ilvl w:val="0"/>
          <w:numId w:val="0"/>
        </w:numPr>
        <w:jc w:val="both"/>
        <w:rPr>
          <w:rFonts w:hint="eastAsia" w:ascii="宋体" w:hAnsi="宋体" w:eastAsia="宋体" w:cs="宋体"/>
          <w:b/>
          <w:bCs/>
          <w:color w:val="auto"/>
          <w:kern w:val="2"/>
          <w:sz w:val="24"/>
          <w:szCs w:val="24"/>
          <w:lang w:val="en-US" w:eastAsia="zh-CN" w:bidi="ar-SA"/>
        </w:rPr>
      </w:pPr>
    </w:p>
    <w:p>
      <w:pPr>
        <w:numPr>
          <w:ilvl w:val="0"/>
          <w:numId w:val="0"/>
        </w:numPr>
        <w:jc w:val="both"/>
        <w:rPr>
          <w:rFonts w:hint="eastAsia"/>
          <w:color w:val="auto"/>
          <w:sz w:val="24"/>
          <w:szCs w:val="24"/>
          <w:lang w:val="en-US" w:eastAsia="zh-CN"/>
        </w:rPr>
      </w:pPr>
    </w:p>
    <w:p>
      <w:pPr>
        <w:pStyle w:val="6"/>
        <w:numPr>
          <w:ilvl w:val="0"/>
          <w:numId w:val="4"/>
        </w:numPr>
        <w:bidi w:val="0"/>
        <w:ind w:left="0" w:leftChars="0" w:firstLine="0" w:firstLineChars="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维保服务内容</w:t>
      </w:r>
    </w:p>
    <w:p>
      <w:pPr>
        <w:pStyle w:val="6"/>
        <w:numPr>
          <w:ilvl w:val="0"/>
          <w:numId w:val="0"/>
        </w:numPr>
        <w:bidi w:val="0"/>
        <w:ind w:leftChars="0"/>
        <w:rPr>
          <w:rFonts w:hint="eastAsia" w:ascii="宋体" w:hAnsi="宋体" w:eastAsia="宋体" w:cs="宋体"/>
          <w:sz w:val="21"/>
          <w:szCs w:val="21"/>
        </w:rPr>
      </w:pPr>
      <w:r>
        <w:rPr>
          <w:rFonts w:hint="eastAsia" w:ascii="宋体" w:hAnsi="宋体" w:eastAsia="宋体" w:cs="宋体"/>
          <w:sz w:val="21"/>
          <w:szCs w:val="21"/>
        </w:rPr>
        <w:t>UPS维保内容及配套电池巡检内容</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80"/>
        <w:gridCol w:w="6025"/>
        <w:gridCol w:w="1321"/>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25" w:hRule="atLeast"/>
        </w:trPr>
        <w:tc>
          <w:tcPr>
            <w:tcW w:w="5000" w:type="pct"/>
            <w:gridSpan w:val="4"/>
            <w:shd w:val="clear" w:color="auto" w:fill="auto"/>
            <w:noWrap/>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UPS维保服务内容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315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季度</w:t>
            </w:r>
          </w:p>
        </w:tc>
        <w:tc>
          <w:tcPr>
            <w:tcW w:w="695"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一、UPS运行环境检查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房间是否清洁，通风是否正常</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房间温度与湿度是否正常</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设备上方是否有水管</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设备是否发生移位</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设备周围是否堆放有杂物</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二、UPS外观检查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设备面板、指示灯检查</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风扇运行情况检查</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开关断路器检查</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检查设备标签是否完好，是否有脱落破损</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检查设备过滤网是否脏堵，如有必要更换</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设备清洁程度</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三、UPS主机检查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UPS主机表面及模块清洁（需下电）</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检查各连接件及插件有无松动或不牢固的情况</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检查UPS各参数是否设置正确，并对历史日志信息进行分析</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检查器件、电缆等是否有损坏、老化、过热情况</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检查电容紧固和泄露情况</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检测实际负荷情况下的电池放电和充电功能</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7</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检测负载均分性能及电流三相不平衡度</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8</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红外热成像扫描UPS关键器件温度</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9</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检测UPS面板仪表的显示值与实际值是否一致</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10</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检查记录输出波形、谐波含量、零低电压</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11</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UPS功能测试(市电逆变供电分别转旁路供电和蓄电池供电）</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12</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检查UPS输入、输出电缆是否过热</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46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13</w:t>
            </w:r>
          </w:p>
        </w:tc>
        <w:tc>
          <w:tcPr>
            <w:tcW w:w="3151"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检查UPS输入、输出配电柜开关状态是否正常，仪表显示是否正常</w:t>
            </w:r>
          </w:p>
        </w:tc>
        <w:tc>
          <w:tcPr>
            <w:tcW w:w="691"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695" w:type="pct"/>
            <w:shd w:val="clear" w:color="auto" w:fill="auto"/>
            <w:tcMar>
              <w:left w:w="108" w:type="dxa"/>
              <w:right w:w="108" w:type="dxa"/>
            </w:tcMar>
            <w:vAlign w:val="center"/>
          </w:tcPr>
          <w:p>
            <w:pPr>
              <w:bidi w:val="0"/>
              <w:rPr>
                <w:rFonts w:hint="eastAsia" w:ascii="宋体" w:hAnsi="宋体" w:eastAsia="宋体" w:cs="宋体"/>
                <w:sz w:val="21"/>
                <w:szCs w:val="21"/>
              </w:rPr>
            </w:pPr>
          </w:p>
        </w:tc>
      </w:tr>
    </w:tbl>
    <w:p>
      <w:pPr>
        <w:bidi w:val="0"/>
        <w:rPr>
          <w:rFonts w:hint="eastAsia"/>
        </w:rPr>
      </w:pPr>
    </w:p>
    <w:tbl>
      <w:tblPr>
        <w:tblStyle w:val="3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41"/>
        <w:gridCol w:w="6666"/>
        <w:gridCol w:w="1017"/>
        <w:gridCol w:w="10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5000" w:type="pct"/>
            <w:gridSpan w:val="4"/>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蓄电池巡检服务内容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jc w:val="center"/>
        </w:trPr>
        <w:tc>
          <w:tcPr>
            <w:tcW w:w="440"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3486"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532"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季度</w:t>
            </w:r>
          </w:p>
        </w:tc>
        <w:tc>
          <w:tcPr>
            <w:tcW w:w="540"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440"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86"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检查电池房间温度、湿度，有无通风</w:t>
            </w:r>
          </w:p>
        </w:tc>
        <w:tc>
          <w:tcPr>
            <w:tcW w:w="532"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86" w:type="pct"/>
            <w:tcBorders>
              <w:top w:val="nil"/>
              <w:left w:val="nil"/>
              <w:bottom w:val="single" w:color="auto" w:sz="4"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检查蓄电池外观，确认无鼓包漏液等迹象</w:t>
            </w:r>
          </w:p>
        </w:tc>
        <w:tc>
          <w:tcPr>
            <w:tcW w:w="532" w:type="pct"/>
            <w:tcBorders>
              <w:top w:val="nil"/>
              <w:left w:val="nil"/>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nil"/>
              <w:left w:val="nil"/>
              <w:bottom w:val="single" w:color="auto" w:sz="4"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486" w:type="pct"/>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检查蓄电池极柱端子是否有爬酸或漏液等迹象</w:t>
            </w:r>
          </w:p>
        </w:tc>
        <w:tc>
          <w:tcPr>
            <w:tcW w:w="532" w:type="pct"/>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486" w:type="pct"/>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检查蓄电池连接电缆线或连接铜排,确认连接部位的连接牢固可靠</w:t>
            </w:r>
          </w:p>
        </w:tc>
        <w:tc>
          <w:tcPr>
            <w:tcW w:w="532" w:type="pct"/>
            <w:tcBorders>
              <w:top w:val="single" w:color="auto" w:sz="4" w:space="0"/>
              <w:left w:val="single" w:color="auto" w:sz="4"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single" w:color="auto" w:sz="4" w:space="0"/>
              <w:left w:val="nil"/>
              <w:bottom w:val="single" w:color="auto" w:sz="8"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486" w:type="pct"/>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检查电池开关额定电压、电流</w:t>
            </w:r>
          </w:p>
        </w:tc>
        <w:tc>
          <w:tcPr>
            <w:tcW w:w="532" w:type="pct"/>
            <w:tcBorders>
              <w:top w:val="nil"/>
              <w:left w:val="single" w:color="auto" w:sz="4" w:space="0"/>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nil"/>
              <w:left w:val="nil"/>
              <w:bottom w:val="single" w:color="auto" w:sz="4"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single" w:color="auto" w:sz="4" w:space="0"/>
              <w:left w:val="single" w:color="auto" w:sz="4"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3486" w:type="pc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对蓄电池进行内阻和浮充电压检测记录，确认无落后电池和阻值偏离正常范围值的状况</w:t>
            </w:r>
          </w:p>
        </w:tc>
        <w:tc>
          <w:tcPr>
            <w:tcW w:w="532" w:type="pc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single" w:color="auto" w:sz="4" w:space="0"/>
              <w:left w:val="nil"/>
              <w:bottom w:val="single" w:color="auto" w:sz="8"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nil"/>
              <w:left w:val="single" w:color="auto" w:sz="4"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7</w:t>
            </w:r>
          </w:p>
        </w:tc>
        <w:tc>
          <w:tcPr>
            <w:tcW w:w="3486"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蓄电池充放电测试</w:t>
            </w:r>
          </w:p>
        </w:tc>
        <w:tc>
          <w:tcPr>
            <w:tcW w:w="532" w:type="pct"/>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nil"/>
              <w:left w:val="nil"/>
              <w:bottom w:val="single" w:color="auto" w:sz="8"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440" w:type="pct"/>
            <w:tcBorders>
              <w:top w:val="nil"/>
              <w:left w:val="single" w:color="auto" w:sz="4" w:space="0"/>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8</w:t>
            </w:r>
          </w:p>
        </w:tc>
        <w:tc>
          <w:tcPr>
            <w:tcW w:w="3486" w:type="pct"/>
            <w:tcBorders>
              <w:top w:val="nil"/>
              <w:left w:val="nil"/>
              <w:bottom w:val="single" w:color="auto" w:sz="4"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红外热成像扫描电池放电过程中端子和本体温度</w:t>
            </w:r>
          </w:p>
        </w:tc>
        <w:tc>
          <w:tcPr>
            <w:tcW w:w="532" w:type="pct"/>
            <w:tcBorders>
              <w:top w:val="nil"/>
              <w:left w:val="nil"/>
              <w:bottom w:val="single" w:color="auto" w:sz="4"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40" w:type="pct"/>
            <w:tcBorders>
              <w:top w:val="nil"/>
              <w:left w:val="nil"/>
              <w:bottom w:val="single" w:color="auto" w:sz="4" w:space="0"/>
              <w:right w:val="single" w:color="auto" w:sz="4"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bl>
    <w:p>
      <w:pPr>
        <w:pStyle w:val="6"/>
        <w:bidi w:val="0"/>
        <w:rPr>
          <w:rFonts w:hint="eastAsia"/>
        </w:rPr>
      </w:pPr>
      <w:r>
        <w:rPr>
          <w:rFonts w:hint="eastAsia" w:ascii="宋体" w:hAnsi="宋体" w:eastAsia="宋体" w:cs="宋体"/>
          <w:sz w:val="21"/>
          <w:szCs w:val="21"/>
        </w:rPr>
        <w:t>精密空调维保内容</w:t>
      </w:r>
    </w:p>
    <w:tbl>
      <w:tblPr>
        <w:tblStyle w:val="31"/>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38"/>
        <w:gridCol w:w="6612"/>
        <w:gridCol w:w="992"/>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80" w:hRule="atLeast"/>
          <w:jc w:val="center"/>
        </w:trPr>
        <w:tc>
          <w:tcPr>
            <w:tcW w:w="5000" w:type="pct"/>
            <w:gridSpan w:val="4"/>
            <w:shd w:val="clear" w:color="auto" w:fill="auto"/>
            <w:noWrap/>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精密空调维保服务内容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3453"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季度</w:t>
            </w:r>
          </w:p>
        </w:tc>
        <w:tc>
          <w:tcPr>
            <w:tcW w:w="537"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一、控制系统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检查控制器上的LED显示单元是否正常，各参数设置是否正确</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查看历史报警记录，对报警内容进行分析并消除隐患</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二、外部冷凝器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检查冷凝器是否清洁情况</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检查风扇转动情况，无异常噪声，运行电路是否正常</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检查室外冷凝器的电源开关，工作是否正常，绝缘是否可靠，电气接点是否紧固</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检查压力继电器是否与设置的一致，根据具体工作环境调整压力继电器</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检查调速器的工作状态，控制是否灵敏</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三、蒸发器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检查蒸发器是否清洁，如有污垢用药剂清洗</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四、室内风机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检查室内风机运转是否正常，有无异常噪音，轴承是否有发热现象</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检查风机皮带是否有裂痕，如有必要进行更换</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五、电路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检查主电源及各之路的电压、电流</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检查所有接触器触点是否清洁，接触是否可靠，对各接点进行紧固</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对24V控制电路进行检测，确保控制的灵敏</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对系统的各种保护功能进行检测，确保探测的准确性和灵敏度</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六、制冷系统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检查制冷系统运行压力是否正常，根据室外环境对压力进行适当调节</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检查压缩机三相绕组是否平衡，绕组绝缘是否可靠</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对各温度探头和感温包进行检测，确保探测的准确性和灵敏度</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进行过热度测试，判断系统运行效率是否到达指定的性能指标</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检查压缩器工作时的声音是否正常，定期对压缩机油使用量进行检查，如缺少并补充</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在压缩机开启情况下检查压缩机出口的温度及膨胀阀、过滤器、毛细管运行温度是否正常</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七、排水系统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检查空调排水是否通畅</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清洁积水盘上的异物和锈迹，并对排水管进行冲洗</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八、漏水检测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对每台空调漏水绳进行检测，确保漏水检测功能正常</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九、保温措施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检查空调管路保温面是否有开裂破损并对损坏的进行更换</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十、安全走线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检查设备内部电缆是否有老化、腐蚀现象，并对存在隐患的电源线进行更换</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000" w:type="pct"/>
            <w:gridSpan w:val="4"/>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十一、空调过滤网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490"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3453" w:type="pct"/>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检查空调过滤网是否脏堵，视情况对过滤网进行更换</w:t>
            </w:r>
          </w:p>
        </w:tc>
        <w:tc>
          <w:tcPr>
            <w:tcW w:w="518" w:type="pct"/>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537" w:type="pct"/>
            <w:shd w:val="clear" w:color="auto" w:fill="auto"/>
            <w:tcMar>
              <w:left w:w="108" w:type="dxa"/>
              <w:right w:w="108" w:type="dxa"/>
            </w:tcMar>
            <w:vAlign w:val="center"/>
          </w:tcPr>
          <w:p>
            <w:pPr>
              <w:bidi w:val="0"/>
              <w:rPr>
                <w:rFonts w:hint="eastAsia" w:ascii="宋体" w:hAnsi="宋体" w:eastAsia="宋体" w:cs="宋体"/>
                <w:sz w:val="21"/>
                <w:szCs w:val="21"/>
              </w:rPr>
            </w:pPr>
          </w:p>
        </w:tc>
      </w:tr>
    </w:tbl>
    <w:p>
      <w:pPr>
        <w:bidi w:val="0"/>
        <w:rPr>
          <w:rFonts w:hint="eastAsia"/>
        </w:rPr>
      </w:pPr>
    </w:p>
    <w:p>
      <w:pPr>
        <w:pStyle w:val="6"/>
        <w:bidi w:val="0"/>
        <w:rPr>
          <w:rFonts w:hint="eastAsia"/>
        </w:rPr>
      </w:pPr>
      <w:r>
        <w:rPr>
          <w:rFonts w:hint="eastAsia" w:ascii="宋体" w:hAnsi="宋体" w:eastAsia="宋体" w:cs="宋体"/>
          <w:sz w:val="21"/>
          <w:szCs w:val="21"/>
        </w:rPr>
        <w:t>低压配电柜（箱）维保内容</w:t>
      </w:r>
    </w:p>
    <w:tbl>
      <w:tblPr>
        <w:tblStyle w:val="31"/>
        <w:tblW w:w="87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8"/>
        <w:gridCol w:w="5687"/>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8705" w:type="dxa"/>
            <w:gridSpan w:val="4"/>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低压配电柜（箱）维保服务内容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季度</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检查配电间环境，空调</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检查配电柜周围是否有易燃易爆物品</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检查配电间防鼠设施是否完好</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配电间柜上方是否有水管</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配电柜门开关是否灵活，有无变型</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柜门锁是否损坏</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7</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测量并记录配电柜输入、输出电压、电流、频率零地电压等参数</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8</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检查配电柜三相电流是否平衡</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9</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检查柜内断路器操作机构是否正常灵活（具有停电条件）</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10</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检查配电柜内二次线路及端子是否有松动</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11</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检查配电柜指示灯、仪表工作指示是否正常</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12</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红外热成像扫描柜内开关、铜牌、线缆温度</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jc w:val="center"/>
        </w:trPr>
        <w:tc>
          <w:tcPr>
            <w:tcW w:w="8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13</w:t>
            </w:r>
          </w:p>
        </w:tc>
        <w:tc>
          <w:tcPr>
            <w:tcW w:w="5687"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测量配电柜接地电阻是否合格</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bidi w:val="0"/>
              <w:rPr>
                <w:rFonts w:hint="eastAsia" w:ascii="宋体" w:hAnsi="宋体" w:eastAsia="宋体" w:cs="宋体"/>
                <w:sz w:val="21"/>
                <w:szCs w:val="21"/>
              </w:rPr>
            </w:pPr>
          </w:p>
        </w:tc>
      </w:tr>
    </w:tbl>
    <w:p>
      <w:pPr>
        <w:pStyle w:val="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管理系统维保内容</w:t>
      </w:r>
    </w:p>
    <w:tbl>
      <w:tblPr>
        <w:tblStyle w:val="31"/>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705"/>
        <w:gridCol w:w="5895"/>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25" w:hRule="atLeast"/>
          <w:jc w:val="center"/>
        </w:trPr>
        <w:tc>
          <w:tcPr>
            <w:tcW w:w="8760" w:type="dxa"/>
            <w:gridSpan w:val="4"/>
            <w:shd w:val="clear" w:color="auto" w:fill="auto"/>
            <w:noWrap/>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管理系统维保服务内容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589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季度</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检查消防联动功能。</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检查智能ETH插座的指示灯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检查WiFi功能</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检查多功能传感器的指示灯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检查感烟探测器告警指示灯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检查机柜采集器的指示灯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7</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检查交流执行器的指示灯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8</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检查天窗执行器的指示灯</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9</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温湿度传感器校准</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10</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检查门禁系统的可用性。</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11</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eLight系统的可用性。</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12</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通道门的可用性。</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jc w:val="center"/>
        </w:trPr>
        <w:tc>
          <w:tcPr>
            <w:tcW w:w="705"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13</w:t>
            </w:r>
          </w:p>
        </w:tc>
        <w:tc>
          <w:tcPr>
            <w:tcW w:w="5895" w:type="dxa"/>
            <w:shd w:val="clear" w:color="auto" w:fill="auto"/>
            <w:tcMar>
              <w:left w:w="108" w:type="dxa"/>
              <w:right w:w="108" w:type="dxa"/>
            </w:tcMar>
            <w:vAlign w:val="center"/>
          </w:tcPr>
          <w:p>
            <w:pPr>
              <w:bidi w:val="0"/>
              <w:rPr>
                <w:rFonts w:hint="eastAsia" w:ascii="宋体" w:hAnsi="宋体" w:eastAsia="宋体" w:cs="宋体"/>
                <w:sz w:val="21"/>
                <w:szCs w:val="21"/>
              </w:rPr>
            </w:pPr>
            <w:r>
              <w:rPr>
                <w:rFonts w:hint="eastAsia" w:ascii="宋体" w:hAnsi="宋体" w:eastAsia="宋体" w:cs="宋体"/>
                <w:sz w:val="21"/>
                <w:szCs w:val="21"/>
              </w:rPr>
              <w:t>智能rPDU的可用性。</w:t>
            </w:r>
          </w:p>
        </w:tc>
        <w:tc>
          <w:tcPr>
            <w:tcW w:w="1080" w:type="dxa"/>
            <w:shd w:val="clear" w:color="auto" w:fill="auto"/>
            <w:tcMar>
              <w:left w:w="108" w:type="dxa"/>
              <w:right w:w="108"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shd w:val="clear" w:color="auto" w:fill="auto"/>
            <w:tcMar>
              <w:left w:w="108" w:type="dxa"/>
              <w:right w:w="108" w:type="dxa"/>
            </w:tcMar>
            <w:vAlign w:val="center"/>
          </w:tcPr>
          <w:p>
            <w:pPr>
              <w:bidi w:val="0"/>
              <w:rPr>
                <w:rFonts w:hint="eastAsia" w:ascii="宋体" w:hAnsi="宋体" w:eastAsia="宋体" w:cs="宋体"/>
                <w:sz w:val="21"/>
                <w:szCs w:val="21"/>
              </w:rPr>
            </w:pPr>
          </w:p>
        </w:tc>
      </w:tr>
    </w:tbl>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芷江路华为机房维护</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457748049"/>
      <w:bookmarkStart w:id="16" w:name="_Toc458971242"/>
      <w:bookmarkStart w:id="17" w:name="_Toc392227906"/>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7039"/>
      <w:bookmarkStart w:id="19" w:name="_Toc369531691"/>
      <w:bookmarkStart w:id="20" w:name="_Toc352691655"/>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6931"/>
      <w:bookmarkStart w:id="22" w:name="_Toc369531692"/>
      <w:bookmarkStart w:id="23" w:name="_Toc352691656"/>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芷江路华为机房维护</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1187"/>
      <w:bookmarkStart w:id="25" w:name="_Toc352691658"/>
      <w:bookmarkStart w:id="26"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369531695"/>
      <w:bookmarkStart w:id="28" w:name="_Toc352691659"/>
      <w:bookmarkStart w:id="29" w:name="_Toc16568"/>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16824"/>
      <w:bookmarkStart w:id="31" w:name="_Toc352691660"/>
      <w:bookmarkStart w:id="32" w:name="_Toc369531696"/>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152042576"/>
      <w:bookmarkStart w:id="34" w:name="_Toc361508752"/>
      <w:bookmarkStart w:id="35" w:name="_Toc300835209"/>
      <w:bookmarkStart w:id="36" w:name="_Toc384308375"/>
      <w:bookmarkStart w:id="37" w:name="_Toc369531697"/>
      <w:bookmarkStart w:id="38" w:name="_Toc152045787"/>
      <w:bookmarkStart w:id="39" w:name="_Toc247514246"/>
      <w:bookmarkStart w:id="40" w:name="_Toc352691661"/>
      <w:bookmarkStart w:id="41" w:name="_Toc144974856"/>
      <w:bookmarkStart w:id="42" w:name="_Toc17960"/>
      <w:bookmarkStart w:id="43" w:name="_Toc247527827"/>
      <w:r>
        <w:rPr>
          <w:rFonts w:hint="eastAsia" w:ascii="宋体" w:hAnsi="宋体" w:eastAsia="宋体" w:cs="Times New Roman"/>
          <w:b/>
          <w:sz w:val="24"/>
          <w:szCs w:val="24"/>
          <w:highlight w:val="none"/>
        </w:rPr>
        <w:br w:type="page"/>
      </w:r>
      <w:bookmarkStart w:id="44" w:name="_Toc457748054"/>
      <w:bookmarkStart w:id="45" w:name="_Toc458971245"/>
      <w:bookmarkStart w:id="46" w:name="_Toc392227908"/>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2"/>
      <w:bookmarkStart w:id="49" w:name="OLE_LINK1"/>
      <w:bookmarkStart w:id="50" w:name="_Toc458971246"/>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芷江路华为机房维护</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芷江路华为机房维护</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392227913"/>
      <w:bookmarkStart w:id="52" w:name="_Toc458971250"/>
      <w:bookmarkStart w:id="53" w:name="_Toc457748057"/>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458971251"/>
      <w:bookmarkStart w:id="55" w:name="_Toc457748058"/>
      <w:bookmarkStart w:id="56" w:name="_Toc392227915"/>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392227916"/>
      <w:bookmarkStart w:id="58"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E86E14"/>
    <w:multiLevelType w:val="singleLevel"/>
    <w:tmpl w:val="C3E86E14"/>
    <w:lvl w:ilvl="0" w:tentative="0">
      <w:start w:val="1"/>
      <w:numFmt w:val="decimal"/>
      <w:lvlText w:val="%1."/>
      <w:lvlJc w:val="left"/>
      <w:pPr>
        <w:ind w:left="425" w:hanging="425"/>
      </w:pPr>
      <w:rPr>
        <w:rFonts w:hint="default"/>
      </w:rPr>
    </w:lvl>
  </w:abstractNum>
  <w:abstractNum w:abstractNumId="1">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3">
    <w:nsid w:val="100B1D47"/>
    <w:multiLevelType w:val="singleLevel"/>
    <w:tmpl w:val="100B1D47"/>
    <w:lvl w:ilvl="0" w:tentative="0">
      <w:start w:val="3"/>
      <w:numFmt w:val="chineseCounting"/>
      <w:suff w:val="nothing"/>
      <w:lvlText w:val="%1、"/>
      <w:lvlJc w:val="left"/>
      <w:rPr>
        <w:rFonts w:hint="eastAsia"/>
      </w:rPr>
    </w:lvl>
  </w:abstractNum>
  <w:abstractNum w:abstractNumId="4">
    <w:nsid w:val="36A00285"/>
    <w:multiLevelType w:val="singleLevel"/>
    <w:tmpl w:val="36A00285"/>
    <w:lvl w:ilvl="0" w:tentative="0">
      <w:start w:val="1"/>
      <w:numFmt w:val="decimal"/>
      <w:lvlText w:val="%1."/>
      <w:lvlJc w:val="left"/>
      <w:pPr>
        <w:ind w:left="425" w:hanging="425"/>
      </w:pPr>
      <w:rPr>
        <w:rFonts w:hint="default"/>
      </w:rPr>
    </w:lvl>
  </w:abstractNum>
  <w:abstractNum w:abstractNumId="5">
    <w:nsid w:val="4B76B372"/>
    <w:multiLevelType w:val="singleLevel"/>
    <w:tmpl w:val="4B76B372"/>
    <w:lvl w:ilvl="0" w:tentative="0">
      <w:start w:val="3"/>
      <w:numFmt w:val="chineseCounting"/>
      <w:suff w:val="space"/>
      <w:lvlText w:val="第%1章"/>
      <w:lvlJc w:val="left"/>
      <w:rPr>
        <w:rFonts w:hint="eastAsia"/>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13636BAB"/>
    <w:rsid w:val="17B6127B"/>
    <w:rsid w:val="18B96178"/>
    <w:rsid w:val="1A6D22BD"/>
    <w:rsid w:val="28787F75"/>
    <w:rsid w:val="2ADF50F8"/>
    <w:rsid w:val="3AD547B2"/>
    <w:rsid w:val="3D5501C4"/>
    <w:rsid w:val="41E65B37"/>
    <w:rsid w:val="5B917DBA"/>
    <w:rsid w:val="5C6240FA"/>
    <w:rsid w:val="5DE8171B"/>
    <w:rsid w:val="645F409A"/>
    <w:rsid w:val="66F931CB"/>
    <w:rsid w:val="69575F98"/>
    <w:rsid w:val="6F0108ED"/>
    <w:rsid w:val="6F0A1AA0"/>
    <w:rsid w:val="74E65469"/>
    <w:rsid w:val="7D540F33"/>
    <w:rsid w:val="7D5E0742"/>
    <w:rsid w:val="7E766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7011</Words>
  <Characters>7597</Characters>
  <Lines>53</Lines>
  <Paragraphs>15</Paragraphs>
  <TotalTime>11</TotalTime>
  <ScaleCrop>false</ScaleCrop>
  <LinksUpToDate>false</LinksUpToDate>
  <CharactersWithSpaces>8706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2026-05-27T05:09:18Z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