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cs="宋体"/>
          <w:kern w:val="0"/>
          <w:sz w:val="24"/>
          <w:szCs w:val="24"/>
          <w:lang w:val="en-US" w:eastAsia="zh-CN"/>
        </w:rPr>
        <w:t>昌化路院区放射建设项目放射技术服务</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4月13</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9066359"/>
      <w:bookmarkStart w:id="11" w:name="_Toc516880880"/>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15</w:t>
      </w:r>
      <w:bookmarkStart w:id="82" w:name="_GoBack"/>
      <w:bookmarkEnd w:id="82"/>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8971216"/>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369531499"/>
      <w:bookmarkStart w:id="17" w:name="_Toc352691457"/>
      <w:bookmarkStart w:id="18" w:name="_Toc247527537"/>
      <w:bookmarkStart w:id="19" w:name="_Toc247513936"/>
      <w:bookmarkStart w:id="20" w:name="_Toc361508564"/>
      <w:bookmarkStart w:id="21" w:name="_Toc384308189"/>
      <w:bookmarkStart w:id="22" w:name="_Toc152045514"/>
      <w:bookmarkStart w:id="23" w:name="_Toc152042290"/>
      <w:bookmarkStart w:id="24" w:name="_Toc144974482"/>
      <w:bookmarkStart w:id="25" w:name="_Toc300834931"/>
      <w:bookmarkStart w:id="26" w:name="_Toc2312"/>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cs="Times New Roman"/>
                <w:sz w:val="24"/>
                <w:szCs w:val="20"/>
                <w:lang w:val="en-US" w:eastAsia="zh-CN"/>
              </w:rPr>
              <w:t>昌化路院区放射建设项目放射技术服务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3"/>
        </w:numPr>
        <w:spacing w:before="260" w:after="260" w:line="360" w:lineRule="auto"/>
        <w:ind w:firstLine="3614" w:firstLineChars="1000"/>
        <w:jc w:val="both"/>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rPr>
        <w:t>需求一览表</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服务地址</w:t>
      </w:r>
      <w:r>
        <w:rPr>
          <w:rFonts w:hint="eastAsia" w:ascii="宋体" w:hAnsi="宋体" w:eastAsia="宋体" w:cs="宋体"/>
          <w:color w:val="auto"/>
          <w:sz w:val="24"/>
          <w:szCs w:val="24"/>
          <w:lang w:val="en-US" w:eastAsia="zh-CN"/>
        </w:rPr>
        <w:t>：上海市静安区安远路25号（</w:t>
      </w:r>
      <w:r>
        <w:rPr>
          <w:rFonts w:hint="eastAsia" w:ascii="宋体" w:hAnsi="宋体" w:eastAsia="宋体" w:cs="宋体"/>
          <w:bCs/>
          <w:color w:val="auto"/>
          <w:kern w:val="2"/>
          <w:sz w:val="24"/>
          <w:szCs w:val="24"/>
          <w:lang w:val="en-US" w:eastAsia="zh-CN" w:bidi="ar-SA"/>
        </w:rPr>
        <w:t>昌化路院区）</w:t>
      </w:r>
      <w:r>
        <w:rPr>
          <w:rFonts w:hint="eastAsia"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2、服务期限：</w:t>
      </w:r>
      <w:r>
        <w:rPr>
          <w:rFonts w:hint="eastAsia" w:ascii="宋体" w:hAnsi="宋体" w:eastAsia="宋体" w:cs="宋体"/>
          <w:bCs/>
          <w:kern w:val="2"/>
          <w:sz w:val="24"/>
          <w:szCs w:val="24"/>
          <w:lang w:val="en-US" w:eastAsia="zh-CN" w:bidi="ar-SA"/>
        </w:rPr>
        <w:t>自合同签订之日起至完成本项目的全部工作。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3、服务范围：</w:t>
      </w:r>
      <w:r>
        <w:rPr>
          <w:rFonts w:hint="eastAsia" w:ascii="宋体" w:hAnsi="宋体" w:eastAsia="宋体" w:cs="宋体"/>
          <w:bCs/>
          <w:kern w:val="2"/>
          <w:sz w:val="24"/>
          <w:szCs w:val="24"/>
          <w:lang w:val="en-US" w:eastAsia="zh-CN" w:bidi="ar-SA"/>
        </w:rPr>
        <w:t>依据国家和上海市关于放射卫生管理和辐射安全管理的要求，</w:t>
      </w:r>
      <w:r>
        <w:rPr>
          <w:rFonts w:hint="eastAsia" w:ascii="宋体" w:hAnsi="宋体" w:eastAsia="宋体" w:cs="宋体"/>
          <w:sz w:val="24"/>
          <w:szCs w:val="24"/>
          <w:lang w:val="en-US" w:eastAsia="zh-CN"/>
        </w:rPr>
        <w:t>对医院昌化院区新建设的4间放射机房及各机房内使用的放射射线装置，开展职业病危害放射防护控制效果评价、放射卫生验收检测及放射诊疗许可证和辐射安全许可证的辅助办理工作。明细如下：</w:t>
      </w:r>
    </w:p>
    <w:tbl>
      <w:tblPr>
        <w:tblStyle w:val="32"/>
        <w:tblpPr w:leftFromText="180" w:rightFromText="180" w:vertAnchor="text" w:horzAnchor="page" w:tblpX="1131" w:tblpY="133"/>
        <w:tblOverlap w:val="never"/>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38"/>
        <w:gridCol w:w="965"/>
        <w:gridCol w:w="984"/>
        <w:gridCol w:w="4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75" w:type="dxa"/>
            <w:shd w:val="clear" w:color="auto" w:fill="D7D7D7"/>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黑体" w:hAnsi="黑体" w:eastAsia="黑体" w:cs="黑体"/>
                <w:sz w:val="24"/>
                <w:szCs w:val="24"/>
              </w:rPr>
            </w:pPr>
            <w:r>
              <w:rPr>
                <w:rFonts w:hint="eastAsia" w:ascii="黑体" w:hAnsi="黑体" w:eastAsia="黑体" w:cs="黑体"/>
                <w:sz w:val="24"/>
                <w:szCs w:val="24"/>
              </w:rPr>
              <w:t>序号</w:t>
            </w:r>
          </w:p>
        </w:tc>
        <w:tc>
          <w:tcPr>
            <w:tcW w:w="1538" w:type="dxa"/>
            <w:shd w:val="clear" w:color="auto" w:fill="D7D7D7"/>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黑体" w:hAnsi="黑体" w:eastAsia="黑体" w:cs="黑体"/>
                <w:sz w:val="24"/>
                <w:szCs w:val="24"/>
              </w:rPr>
            </w:pPr>
            <w:r>
              <w:rPr>
                <w:rFonts w:hint="eastAsia" w:ascii="黑体" w:hAnsi="黑体" w:eastAsia="黑体" w:cs="黑体"/>
                <w:sz w:val="24"/>
                <w:szCs w:val="24"/>
              </w:rPr>
              <w:t>设备名称</w:t>
            </w:r>
          </w:p>
        </w:tc>
        <w:tc>
          <w:tcPr>
            <w:tcW w:w="965" w:type="dxa"/>
            <w:shd w:val="clear" w:color="auto" w:fill="D7D7D7"/>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黑体" w:hAnsi="黑体" w:eastAsia="黑体" w:cs="黑体"/>
                <w:sz w:val="24"/>
                <w:szCs w:val="24"/>
              </w:rPr>
            </w:pPr>
            <w:r>
              <w:rPr>
                <w:rFonts w:hint="eastAsia" w:ascii="黑体" w:hAnsi="黑体" w:eastAsia="黑体" w:cs="黑体"/>
                <w:sz w:val="24"/>
                <w:szCs w:val="24"/>
              </w:rPr>
              <w:t>单位</w:t>
            </w:r>
          </w:p>
        </w:tc>
        <w:tc>
          <w:tcPr>
            <w:tcW w:w="984" w:type="dxa"/>
            <w:shd w:val="clear" w:color="auto" w:fill="D7D7D7"/>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黑体" w:hAnsi="黑体" w:eastAsia="黑体" w:cs="黑体"/>
                <w:sz w:val="24"/>
                <w:szCs w:val="24"/>
              </w:rPr>
            </w:pPr>
            <w:r>
              <w:rPr>
                <w:rFonts w:hint="eastAsia" w:ascii="黑体" w:hAnsi="黑体" w:eastAsia="黑体" w:cs="黑体"/>
                <w:sz w:val="24"/>
                <w:szCs w:val="24"/>
              </w:rPr>
              <w:t>数量</w:t>
            </w:r>
          </w:p>
        </w:tc>
        <w:tc>
          <w:tcPr>
            <w:tcW w:w="4704" w:type="dxa"/>
            <w:shd w:val="clear" w:color="auto" w:fill="D7D7D7"/>
            <w:noWrap w:val="0"/>
            <w:vAlign w:val="top"/>
          </w:tcPr>
          <w:p>
            <w:pPr>
              <w:pStyle w:val="14"/>
              <w:keepNext w:val="0"/>
              <w:keepLines w:val="0"/>
              <w:pageBreakBefore w:val="0"/>
              <w:widowControl w:val="0"/>
              <w:kinsoku/>
              <w:wordWrap/>
              <w:overflowPunct/>
              <w:topLinePunct w:val="0"/>
              <w:bidi w:val="0"/>
              <w:adjustRightInd/>
              <w:spacing w:line="360" w:lineRule="auto"/>
              <w:jc w:val="center"/>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675" w:type="dxa"/>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38"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CT</w:t>
            </w:r>
          </w:p>
        </w:tc>
        <w:tc>
          <w:tcPr>
            <w:tcW w:w="965"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98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70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移机，原石门路院区设备移机到昌化路院区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75" w:type="dxa"/>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38"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DR</w:t>
            </w:r>
          </w:p>
        </w:tc>
        <w:tc>
          <w:tcPr>
            <w:tcW w:w="965"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98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70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更新，原石门路设备报废，26年财政资金购置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75" w:type="dxa"/>
            <w:noWrap w:val="0"/>
            <w:vAlign w:val="center"/>
          </w:tcPr>
          <w:p>
            <w:pPr>
              <w:pStyle w:val="14"/>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38"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口腔CT</w:t>
            </w:r>
          </w:p>
        </w:tc>
        <w:tc>
          <w:tcPr>
            <w:tcW w:w="965"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98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704" w:type="dxa"/>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新增，26年财政资金购置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675" w:type="dxa"/>
            <w:noWrap w:val="0"/>
            <w:vAlign w:val="center"/>
          </w:tcPr>
          <w:p>
            <w:pPr>
              <w:pStyle w:val="14"/>
              <w:keepNext w:val="0"/>
              <w:keepLines w:val="0"/>
              <w:pageBreakBefore w:val="0"/>
              <w:widowControl w:val="0"/>
              <w:kinsoku/>
              <w:wordWrap/>
              <w:overflowPunct/>
              <w:topLinePunct w:val="0"/>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538" w:type="dxa"/>
            <w:noWrap w:val="0"/>
            <w:vAlign w:val="center"/>
          </w:tcPr>
          <w:p>
            <w:pPr>
              <w:keepNext w:val="0"/>
              <w:keepLines w:val="0"/>
              <w:pageBreakBefore w:val="0"/>
              <w:widowControl w:val="0"/>
              <w:kinsoku/>
              <w:wordWrap/>
              <w:overflowPunct/>
              <w:topLinePunct w:val="0"/>
              <w:bidi w:val="0"/>
              <w:adjustRightInd/>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牙片机</w:t>
            </w:r>
          </w:p>
        </w:tc>
        <w:tc>
          <w:tcPr>
            <w:tcW w:w="965" w:type="dxa"/>
            <w:noWrap w:val="0"/>
            <w:vAlign w:val="center"/>
          </w:tcPr>
          <w:p>
            <w:pPr>
              <w:keepNext w:val="0"/>
              <w:keepLines w:val="0"/>
              <w:pageBreakBefore w:val="0"/>
              <w:widowControl w:val="0"/>
              <w:kinsoku/>
              <w:wordWrap/>
              <w:overflowPunct/>
              <w:topLinePunct w:val="0"/>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984" w:type="dxa"/>
            <w:noWrap w:val="0"/>
            <w:vAlign w:val="center"/>
          </w:tcPr>
          <w:p>
            <w:pPr>
              <w:keepNext w:val="0"/>
              <w:keepLines w:val="0"/>
              <w:pageBreakBefore w:val="0"/>
              <w:widowControl w:val="0"/>
              <w:kinsoku/>
              <w:wordWrap/>
              <w:overflowPunct/>
              <w:topLinePunct w:val="0"/>
              <w:bidi w:val="0"/>
              <w:adjustRightIn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704" w:type="dxa"/>
            <w:noWrap w:val="0"/>
            <w:vAlign w:val="center"/>
          </w:tcPr>
          <w:p>
            <w:pPr>
              <w:keepNext w:val="0"/>
              <w:keepLines w:val="0"/>
              <w:pageBreakBefore w:val="0"/>
              <w:widowControl w:val="0"/>
              <w:kinsoku/>
              <w:wordWrap/>
              <w:overflowPunct/>
              <w:topLinePunct w:val="0"/>
              <w:bidi w:val="0"/>
              <w:adjustRightInd/>
              <w:spacing w:line="24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新增，26年财政资金购置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866" w:type="dxa"/>
            <w:gridSpan w:val="5"/>
            <w:noWrap w:val="0"/>
            <w:vAlign w:val="center"/>
          </w:tcPr>
          <w:p>
            <w:pPr>
              <w:keepNext w:val="0"/>
              <w:keepLines w:val="0"/>
              <w:pageBreakBefore w:val="0"/>
              <w:widowControl w:val="0"/>
              <w:kinsoku/>
              <w:wordWrap/>
              <w:overflowPunct/>
              <w:topLinePunct w:val="0"/>
              <w:bidi w:val="0"/>
              <w:adjustRightInd/>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共计</w:t>
            </w:r>
            <w:r>
              <w:rPr>
                <w:rFonts w:hint="eastAsia" w:ascii="宋体" w:hAnsi="宋体" w:eastAsia="宋体" w:cs="宋体"/>
                <w:b/>
                <w:bCs/>
                <w:sz w:val="24"/>
                <w:szCs w:val="24"/>
                <w:lang w:val="en-US" w:eastAsia="zh-CN"/>
              </w:rPr>
              <w:t>四台</w:t>
            </w:r>
            <w:r>
              <w:rPr>
                <w:rFonts w:hint="eastAsia" w:ascii="宋体" w:hAnsi="宋体" w:eastAsia="宋体" w:cs="宋体"/>
                <w:sz w:val="24"/>
                <w:szCs w:val="24"/>
                <w:lang w:val="en-US" w:eastAsia="zh-CN"/>
              </w:rPr>
              <w:t>射线装置（III类）及对应机房</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1、放射卫生管理方面：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控制效果评价；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项目满足控评条件（机房防护工程完成且设备调试完成）后，5日内开展控评验收检测（现场检测），现场检测后且满足标准要求后，10日内出具验收检测报告，交付验收检测正式稿扫描件（签发版）；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控评资料收集齐全后，30日内交付《建设项目职业病危害放射防护控制效果评价报告》。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辅助办理《放射诊疗许可证》；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完成控评报告后，10日内辅助医院完成放射诊疗许可变更申请并提交卫生行政部门审批；原则上提交且受理后15日内完成卫生行政许可现场审核，现场审核后30日内领取《放射诊疗许可证》。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2、辐射安全管理方面：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辐射环境影响备案登记：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项目满足辐射环保备案条件（机房防护工程完成且设备调试完成）后，5日内完成放射建设项目辐射环境影响备案登记；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辅助办理《辐射安全许可证》：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完成辐射环境影响备案登记后，7日内辅助医院完成《辐射安全许可证》申请材料提交，原则上提交且受理后15日内完成辐射环保部门现场审核，现场审核后15日内领取《辐射安全许可证》。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照项目规模合理配置与放射技术咨询服务事项相适应数量的专业技术资格人员（提供人员资质资格证书复印件）。项目负责人必须具有同类项目放射技术咨询服务经验。项目组人员应有良好的职业道德和严谨的工作作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2、未经医院同意，不得撤换项目负责人及相关人员，否则按违约处理。服务人员无法满足服务工作要求时，医院有权要求调换具有相应资历的人选的权利， 直至有权要求服务商退场并单方面终止合同。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商的放射技术咨询服务工作应按国家及上海市的最新规范、要求及标准等进行。所提供的咨询建议、结论意见、报告书可靠、真实、准确，所有的咨询建议、结论意见、报告书均应以书面方式提出并对其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4、放射技术咨询报告编制，评估评审并通过相应级别的部门审批后，编制成果需提供给医院对应纸质版和电子版材料；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5、各项报告均应符合国家及地方有关法律、法规及相关部门要求；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6、各类许可证照以卫生行政部门和生态环境部门出具的证照为准。</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四、成果文件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本项目提交或申领的成果文件如下（不限于以下成果文件）：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1、《职业病危害放射防护控制效果评价报告》书面稿及正式稿扫描件，包含项目验收检测报告；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2、《放射建设项目辐射环境备案登记表》；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3、更新后的《放射诊疗许可证》；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4、更新后的《辐射安全许可证》；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5、其他成果文件。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0000FF"/>
          <w:sz w:val="24"/>
          <w:szCs w:val="24"/>
          <w:lang w:val="en-US" w:eastAsia="zh-CN"/>
        </w:rPr>
      </w:pPr>
      <w:r>
        <w:rPr>
          <w:rFonts w:hint="eastAsia" w:ascii="宋体" w:hAnsi="宋体" w:eastAsia="宋体" w:cs="宋体"/>
          <w:b/>
          <w:bCs/>
          <w:sz w:val="24"/>
          <w:szCs w:val="24"/>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本项目合同盖章生效后，乙方于5个工作日开具正式增值税务发票后，甲方于30日内支付合同总金额的50%，乙方完成本合同所需的所有服务事项且经甲方验收确认，开具正式增值税务发票后，甲方于30日内支付剩余的50%</w:t>
      </w:r>
    </w:p>
    <w:p>
      <w:pPr>
        <w:keepNext/>
        <w:keepLines/>
        <w:numPr>
          <w:ilvl w:val="0"/>
          <w:numId w:val="0"/>
        </w:numPr>
        <w:spacing w:before="260" w:after="260" w:line="360" w:lineRule="auto"/>
        <w:jc w:val="both"/>
        <w:outlineLvl w:val="0"/>
        <w:rPr>
          <w:rFonts w:ascii="宋体" w:hAnsi="宋体" w:cs="仿宋"/>
          <w:sz w:val="24"/>
          <w:szCs w:val="24"/>
        </w:rPr>
      </w:pP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lang w:val="en-US" w:eastAsia="zh-CN"/>
        </w:rPr>
        <w:t>昌化路院区放射建设项目放射技术服务</w:t>
      </w:r>
    </w:p>
    <w:p>
      <w:pPr>
        <w:jc w:val="center"/>
        <w:rPr>
          <w:rFonts w:hint="eastAsia" w:ascii="宋体" w:hAnsi="宋体" w:eastAsia="宋体" w:cs="Times New Roman"/>
          <w:b/>
          <w:sz w:val="40"/>
          <w:szCs w:val="40"/>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8971242"/>
      <w:bookmarkStart w:id="31" w:name="_Toc457748049"/>
      <w:bookmarkStart w:id="32" w:name="_Toc392227906"/>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7039"/>
      <w:bookmarkStart w:id="35" w:name="_Toc369531691"/>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69531692"/>
      <w:bookmarkStart w:id="37" w:name="_Toc6931"/>
      <w:bookmarkStart w:id="38" w:name="_Toc352691656"/>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昌化路院区放射建设项目放射技术服务</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69531694"/>
      <w:bookmarkStart w:id="40" w:name="_Toc352691658"/>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69531695"/>
      <w:bookmarkStart w:id="43" w:name="_Toc16568"/>
      <w:bookmarkStart w:id="44" w:name="_Toc352691659"/>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352691660"/>
      <w:bookmarkStart w:id="47" w:name="_Toc16824"/>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hint="eastAsia" w:ascii="宋体" w:hAnsi="宋体" w:eastAsia="宋体" w:cs="Times New Roman"/>
          <w:b/>
          <w:sz w:val="24"/>
          <w:szCs w:val="24"/>
        </w:rPr>
      </w:pPr>
      <w:bookmarkStart w:id="48" w:name="_Toc361508752"/>
      <w:bookmarkStart w:id="49" w:name="_Toc152045787"/>
      <w:bookmarkStart w:id="50" w:name="_Toc17960"/>
      <w:bookmarkStart w:id="51" w:name="_Toc247514246"/>
      <w:bookmarkStart w:id="52" w:name="_Toc152042576"/>
      <w:bookmarkStart w:id="53" w:name="_Toc144974856"/>
      <w:bookmarkStart w:id="54" w:name="_Toc352691661"/>
      <w:bookmarkStart w:id="55" w:name="_Toc247527827"/>
      <w:bookmarkStart w:id="56" w:name="_Toc300835209"/>
      <w:bookmarkStart w:id="57" w:name="_Toc384308375"/>
      <w:bookmarkStart w:id="58" w:name="_Toc369531697"/>
    </w:p>
    <w:p>
      <w:pPr>
        <w:spacing w:line="360" w:lineRule="auto"/>
        <w:jc w:val="center"/>
        <w:outlineLvl w:val="1"/>
        <w:rPr>
          <w:rFonts w:hint="eastAsia" w:ascii="宋体" w:hAnsi="宋体" w:eastAsia="宋体" w:cs="Times New Roman"/>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ascii="宋体" w:hAnsi="宋体" w:cs="宋体"/>
          <w:color w:val="auto"/>
          <w:kern w:val="0"/>
          <w:sz w:val="24"/>
          <w:szCs w:val="24"/>
          <w:u w:val="single"/>
        </w:rPr>
      </w:pPr>
      <w:r>
        <w:rPr>
          <w:rFonts w:ascii="宋体" w:hAnsi="宋体" w:cs="宋体"/>
          <w:color w:val="auto"/>
          <w:kern w:val="0"/>
          <w:sz w:val="24"/>
          <w:szCs w:val="24"/>
          <w:u w:val="none"/>
        </w:rPr>
        <w:t>项目名称：</w:t>
      </w:r>
      <w:r>
        <w:rPr>
          <w:rFonts w:hint="eastAsia" w:ascii="宋体" w:hAnsi="宋体" w:eastAsia="宋体" w:cs="Times New Roman"/>
          <w:sz w:val="24"/>
          <w:szCs w:val="24"/>
          <w:u w:val="single"/>
          <w:lang w:val="en-US" w:eastAsia="zh-CN"/>
        </w:rPr>
        <w:t>昌化路院区放射建设项目放射技术服务</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Times New Roman"/>
                <w:sz w:val="24"/>
                <w:szCs w:val="24"/>
                <w:u w:val="none"/>
                <w:lang w:val="en-US" w:eastAsia="zh-CN"/>
              </w:rPr>
              <w:t>昌化路院区放射建设项目放射技术服务</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bookmarkStart w:id="60" w:name="_Toc392227908"/>
      <w:bookmarkStart w:id="61" w:name="_Toc457748054"/>
      <w:bookmarkStart w:id="62" w:name="_Toc458971245"/>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_Toc458971246"/>
      <w:bookmarkStart w:id="65" w:name="OLE_LINK2"/>
      <w:bookmarkStart w:id="66" w:name="OLE_LINK1"/>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昌化路院区放射建设项目放射技术服务</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7" w:name="_Toc458971251"/>
      <w:bookmarkStart w:id="68" w:name="_Toc392227915"/>
      <w:bookmarkStart w:id="69" w:name="_Toc457748058"/>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457748059"/>
      <w:bookmarkStart w:id="71"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Times New Roman"/>
          <w:szCs w:val="21"/>
          <w:u w:val="single"/>
          <w:lang w:val="en-US" w:eastAsia="zh-CN"/>
        </w:rPr>
        <w:t>昌化路院区放射建设项目放射技术服务</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352691669"/>
            <w:bookmarkStart w:id="76" w:name="_Toc369531705"/>
            <w:bookmarkStart w:id="77" w:name="_Toc28644"/>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9" w:name="_Toc457748066"/>
      <w:bookmarkStart w:id="80" w:name="_Toc458971254"/>
      <w:bookmarkStart w:id="81" w:name="_Toc392227920"/>
      <w:r>
        <w:rPr>
          <w:rFonts w:hint="eastAsia" w:ascii="宋体" w:hAnsi="宋体"/>
          <w:b/>
          <w:sz w:val="30"/>
          <w:szCs w:val="30"/>
        </w:rPr>
        <w:t>技术方案</w:t>
      </w:r>
      <w:r>
        <w:rPr>
          <w:rFonts w:ascii="宋体" w:hAnsi="宋体"/>
          <w:b/>
          <w:sz w:val="30"/>
          <w:szCs w:val="30"/>
        </w:rPr>
        <w:t>的详细描述</w:t>
      </w:r>
      <w:bookmarkEnd w:id="79"/>
      <w:bookmarkEnd w:id="80"/>
      <w:bookmarkEnd w:id="81"/>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CEF2"/>
    <w:multiLevelType w:val="singleLevel"/>
    <w:tmpl w:val="3045CEF2"/>
    <w:lvl w:ilvl="0" w:tentative="0">
      <w:start w:val="3"/>
      <w:numFmt w:val="chineseCounting"/>
      <w:suff w:val="space"/>
      <w:lvlText w:val="第%1章"/>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1BE5FE"/>
    <w:multiLevelType w:val="singleLevel"/>
    <w:tmpl w:val="5A1BE5FE"/>
    <w:lvl w:ilvl="0" w:tentative="0">
      <w:start w:val="1"/>
      <w:numFmt w:val="chineseCounting"/>
      <w:suff w:val="nothing"/>
      <w:lvlText w:val="%1、"/>
      <w:lvlJc w:val="left"/>
      <w:rPr>
        <w:rFonts w:hint="eastAsia"/>
      </w:rPr>
    </w:lvl>
  </w:abstractNum>
  <w:abstractNum w:abstractNumId="8">
    <w:nsid w:val="6716C471"/>
    <w:multiLevelType w:val="singleLevel"/>
    <w:tmpl w:val="6716C471"/>
    <w:lvl w:ilvl="0" w:tentative="0">
      <w:start w:val="1"/>
      <w:numFmt w:val="decimal"/>
      <w:suff w:val="nothing"/>
      <w:lvlText w:val="%1、"/>
      <w:lvlJc w:val="left"/>
    </w:lvl>
  </w:abstractNum>
  <w:num w:numId="1">
    <w:abstractNumId w:val="1"/>
  </w:num>
  <w:num w:numId="2">
    <w:abstractNumId w:val="2"/>
  </w:num>
  <w:num w:numId="3">
    <w:abstractNumId w:val="5"/>
  </w:num>
  <w:num w:numId="4">
    <w:abstractNumId w:val="7"/>
  </w:num>
  <w:num w:numId="5">
    <w:abstractNumId w:val="8"/>
  </w:num>
  <w:num w:numId="6">
    <w:abstractNumId w:val="6"/>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87D420A"/>
    <w:rsid w:val="0886339E"/>
    <w:rsid w:val="0CEC2369"/>
    <w:rsid w:val="0DDE3961"/>
    <w:rsid w:val="17A73AEF"/>
    <w:rsid w:val="188B0F12"/>
    <w:rsid w:val="1AB00CF8"/>
    <w:rsid w:val="1B136159"/>
    <w:rsid w:val="1B98325F"/>
    <w:rsid w:val="297135BF"/>
    <w:rsid w:val="298C67FD"/>
    <w:rsid w:val="313B2781"/>
    <w:rsid w:val="33EF0D59"/>
    <w:rsid w:val="353D5F57"/>
    <w:rsid w:val="383B3CF2"/>
    <w:rsid w:val="3A6C40F3"/>
    <w:rsid w:val="3AD971BD"/>
    <w:rsid w:val="3C687E22"/>
    <w:rsid w:val="42413347"/>
    <w:rsid w:val="45355DD6"/>
    <w:rsid w:val="48DA7DD1"/>
    <w:rsid w:val="4D35463C"/>
    <w:rsid w:val="4F832CF0"/>
    <w:rsid w:val="5580556E"/>
    <w:rsid w:val="56984130"/>
    <w:rsid w:val="58B612FD"/>
    <w:rsid w:val="59632311"/>
    <w:rsid w:val="5A964A11"/>
    <w:rsid w:val="61593578"/>
    <w:rsid w:val="64B94717"/>
    <w:rsid w:val="68383F8A"/>
    <w:rsid w:val="71C80B55"/>
    <w:rsid w:val="723839D6"/>
    <w:rsid w:val="754E7C22"/>
    <w:rsid w:val="75603D23"/>
    <w:rsid w:val="763B1359"/>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0</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2026-04-07T02:43:33Z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