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bCs/>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04</w:t>
      </w:r>
      <w:r>
        <w:rPr>
          <w:rFonts w:hint="eastAsia" w:ascii="Times New Roman" w:hAnsi="Times New Roman" w:eastAsia="宋体"/>
          <w:b/>
          <w:sz w:val="36"/>
          <w:szCs w:val="36"/>
          <w:highlight w:val="none"/>
        </w:rPr>
        <w:t>月</w:t>
      </w: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2" w:name="_Toc11326092"/>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05"/>
      <w:bookmarkStart w:id="4" w:name="_Toc461613077"/>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eastAsia="zh-CN"/>
        </w:rPr>
        <w:t>互联网医院平台运维服务</w:t>
      </w:r>
    </w:p>
    <w:p>
      <w:pPr>
        <w:autoSpaceDE w:val="0"/>
        <w:autoSpaceDN w:val="0"/>
        <w:spacing w:line="360" w:lineRule="auto"/>
        <w:ind w:left="360" w:firstLine="64" w:firstLineChars="27"/>
        <w:rPr>
          <w:rFonts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章“货物需求一览表及技术规格”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 xml:space="preserve">年 </w:t>
      </w:r>
      <w:r>
        <w:rPr>
          <w:rFonts w:hint="eastAsia" w:ascii="宋体" w:hAnsi="宋体" w:eastAsia="宋体" w:cs="Times New Roman"/>
          <w:sz w:val="24"/>
          <w:szCs w:val="24"/>
          <w:highlight w:val="none"/>
          <w:lang w:val="en-US" w:eastAsia="zh-CN"/>
        </w:rPr>
        <w:t>04</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08</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04</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lang w:val="en-US" w:eastAsia="zh-CN"/>
        </w:rPr>
        <w:t>10</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04</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17</w:t>
      </w:r>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bookmarkStart w:id="64" w:name="_GoBack"/>
      <w:bookmarkEnd w:id="64"/>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516880880"/>
      <w:bookmarkStart w:id="10" w:name="_Toc9066359"/>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4"/>
        <w:gridCol w:w="8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70"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70"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70"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eastAsia="zh-CN"/>
              </w:rPr>
              <w:t>互联网医院平台运维服务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70"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技术</w:t>
            </w:r>
            <w:r>
              <w:rPr>
                <w:rFonts w:hint="eastAsia" w:ascii="宋体" w:hAnsi="宋体" w:eastAsia="宋体" w:cs="Times New Roman"/>
                <w:sz w:val="24"/>
                <w:szCs w:val="20"/>
                <w:highlight w:val="none"/>
              </w:rPr>
              <w:t>响应/偏离表</w:t>
            </w:r>
          </w:p>
          <w:p>
            <w:pPr>
              <w:spacing w:line="360" w:lineRule="auto"/>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供应商应按</w:t>
            </w:r>
            <w:r>
              <w:rPr>
                <w:rFonts w:hint="eastAsia" w:ascii="宋体" w:hAnsi="宋体" w:eastAsia="宋体" w:cs="Times New Roman"/>
                <w:sz w:val="24"/>
                <w:szCs w:val="20"/>
                <w:highlight w:val="none"/>
                <w:lang w:val="en-US" w:eastAsia="zh-CN"/>
              </w:rPr>
              <w:t>响应文件</w:t>
            </w:r>
            <w:r>
              <w:rPr>
                <w:rFonts w:hint="eastAsia" w:ascii="宋体" w:hAnsi="宋体" w:eastAsia="宋体" w:cs="Times New Roman"/>
                <w:sz w:val="24"/>
                <w:szCs w:val="20"/>
                <w:highlight w:val="none"/>
              </w:rPr>
              <w:t>填写技术规格响应/偏离表</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对招标文件第三章《项目需求及技术规格》的所有条款逐条应答，投标人可自行设定格式。</w:t>
            </w:r>
          </w:p>
          <w:p>
            <w:pPr>
              <w:pStyle w:val="15"/>
              <w:numPr>
                <w:ilvl w:val="0"/>
                <w:numId w:val="2"/>
              </w:numPr>
              <w:rPr>
                <w:rFonts w:hint="eastAsia" w:ascii="宋体" w:hAnsi="宋体" w:cs="Times New Roman"/>
                <w:sz w:val="24"/>
                <w:szCs w:val="20"/>
                <w:highlight w:val="none"/>
                <w:lang w:val="en-US" w:eastAsia="zh-CN"/>
              </w:rPr>
            </w:pPr>
            <w:r>
              <w:rPr>
                <w:rFonts w:hint="eastAsia" w:ascii="宋体" w:hAnsi="宋体" w:cs="Times New Roman"/>
                <w:sz w:val="24"/>
                <w:szCs w:val="20"/>
                <w:highlight w:val="none"/>
                <w:lang w:val="en-US" w:eastAsia="zh-CN"/>
              </w:rPr>
              <w:t>商务条款响应/偏离表</w:t>
            </w:r>
          </w:p>
          <w:p>
            <w:pPr>
              <w:pStyle w:val="15"/>
              <w:numPr>
                <w:ilvl w:val="0"/>
                <w:numId w:val="0"/>
              </w:numPr>
              <w:rPr>
                <w:rFonts w:hint="default" w:ascii="宋体" w:hAnsi="宋体" w:cs="Times New Roman"/>
                <w:sz w:val="24"/>
                <w:szCs w:val="20"/>
                <w:highlight w:val="none"/>
                <w:lang w:val="en-US" w:eastAsia="zh-CN"/>
              </w:rPr>
            </w:pPr>
            <w:r>
              <w:rPr>
                <w:rFonts w:hint="eastAsia" w:ascii="宋体" w:hAnsi="宋体" w:eastAsia="宋体" w:cs="Times New Roman"/>
                <w:sz w:val="24"/>
                <w:szCs w:val="20"/>
                <w:highlight w:val="none"/>
              </w:rPr>
              <w:t>供应商应按</w:t>
            </w:r>
            <w:r>
              <w:rPr>
                <w:rFonts w:hint="eastAsia" w:ascii="宋体" w:hAnsi="宋体" w:eastAsia="宋体" w:cs="Times New Roman"/>
                <w:sz w:val="24"/>
                <w:szCs w:val="20"/>
                <w:highlight w:val="none"/>
                <w:lang w:val="en-US" w:eastAsia="zh-CN"/>
              </w:rPr>
              <w:t>响应文件</w:t>
            </w:r>
            <w:r>
              <w:rPr>
                <w:rFonts w:hint="eastAsia" w:ascii="宋体" w:hAnsi="宋体" w:eastAsia="宋体" w:cs="Times New Roman"/>
                <w:sz w:val="24"/>
                <w:szCs w:val="20"/>
                <w:highlight w:val="none"/>
              </w:rPr>
              <w:t>填写商务条款响应/偏离表</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格式自拟</w:t>
            </w:r>
            <w:r>
              <w:rPr>
                <w:rFonts w:hint="eastAsia" w:ascii="宋体" w:hAnsi="宋体" w:eastAsia="宋体" w:cs="Times New Roman"/>
                <w:sz w:val="24"/>
                <w:szCs w:val="20"/>
                <w:highlight w:val="none"/>
              </w:rPr>
              <w:t>。</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70"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lang w:eastAsia="zh-CN"/>
              </w:rPr>
              <w:t>第三章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70"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w:t>
            </w:r>
            <w:r>
              <w:rPr>
                <w:rFonts w:hint="eastAsia" w:ascii="宋体" w:hAnsi="宋体" w:eastAsia="宋体" w:cs="Times New Roman"/>
                <w:sz w:val="24"/>
                <w:szCs w:val="20"/>
                <w:highlight w:val="none"/>
                <w:lang w:eastAsia="zh-CN"/>
              </w:rPr>
              <w:t>第三章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货物需求一览表及技术规格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lang w:val="en-US" w:eastAsia="zh-CN"/>
              </w:rPr>
              <w:t>6</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70"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p>
        </w:tc>
        <w:tc>
          <w:tcPr>
            <w:tcW w:w="4470"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3"/>
              </w:numPr>
              <w:kinsoku w:val="0"/>
              <w:autoSpaceDE w:val="0"/>
              <w:autoSpaceDN w:val="0"/>
              <w:spacing w:line="360" w:lineRule="auto"/>
              <w:ind w:left="720" w:leftChars="0"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（格式见附件</w:t>
            </w:r>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供应商需提供无行贿犯罪记录声明函；（格式见附件</w:t>
            </w:r>
            <w:r>
              <w:rPr>
                <w:rFonts w:hint="eastAsia"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lang w:val="en-US" w:eastAsia="zh-CN"/>
              </w:rPr>
              <w:t>8.1</w:t>
            </w:r>
          </w:p>
        </w:tc>
        <w:tc>
          <w:tcPr>
            <w:tcW w:w="4470" w:type="pct"/>
            <w:vAlign w:val="center"/>
          </w:tcPr>
          <w:p>
            <w:pPr>
              <w:kinsoku w:val="0"/>
              <w:autoSpaceDE w:val="0"/>
              <w:autoSpaceDN w:val="0"/>
              <w:spacing w:line="360" w:lineRule="auto"/>
              <w:ind w:right="57"/>
              <w:textAlignment w:val="bottom"/>
              <w:rPr>
                <w:rFonts w:hint="eastAsia" w:asciiTheme="minorEastAsia" w:hAnsiTheme="minorEastAsia" w:eastAsiaTheme="minorEastAsia"/>
                <w:sz w:val="24"/>
                <w:szCs w:val="24"/>
                <w:highlight w:val="none"/>
              </w:rPr>
            </w:pPr>
            <w:r>
              <w:rPr>
                <w:rFonts w:hint="eastAsia" w:ascii="宋体" w:hAnsi="宋体" w:eastAsia="宋体" w:cs="Times New Roman"/>
                <w:sz w:val="24"/>
                <w:szCs w:val="20"/>
                <w:lang w:val="en-US" w:eastAsia="zh-CN"/>
              </w:rPr>
              <w:t>在采购过程中，投标人如发现采购人有违法违规行为，可向医院纪检部门举报。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lang w:val="en-US" w:eastAsia="zh-CN"/>
              </w:rPr>
              <w:t>8.2</w:t>
            </w:r>
          </w:p>
        </w:tc>
        <w:tc>
          <w:tcPr>
            <w:tcW w:w="4470" w:type="pct"/>
            <w:vAlign w:val="center"/>
          </w:tcPr>
          <w:p>
            <w:pPr>
              <w:kinsoku w:val="0"/>
              <w:autoSpaceDE w:val="0"/>
              <w:autoSpaceDN w:val="0"/>
              <w:spacing w:line="360" w:lineRule="auto"/>
              <w:ind w:right="57"/>
              <w:textAlignment w:val="bottom"/>
              <w:rPr>
                <w:rFonts w:hint="eastAsia" w:ascii="宋体" w:hAnsi="宋体" w:eastAsia="宋体" w:cs="Times New Roman"/>
                <w:sz w:val="24"/>
                <w:szCs w:val="20"/>
                <w:lang w:val="en-US" w:eastAsia="zh-CN"/>
              </w:rPr>
            </w:pPr>
            <w:r>
              <w:rPr>
                <w:rFonts w:hint="eastAsia" w:ascii="宋体" w:hAnsi="宋体" w:eastAsia="宋体" w:cs="Times New Roman"/>
                <w:sz w:val="24"/>
                <w:szCs w:val="20"/>
                <w:lang w:val="en-US" w:eastAsia="zh-CN"/>
              </w:rPr>
              <w:t>采购人如发现投标人之间存在关联关系，不论项目进行中或招标已经完成，采购人有权终止此项目招标或取消招标结果。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hint="eastAsia" w:ascii="宋体" w:hAnsi="宋体" w:eastAsia="宋体" w:cs="Times New Roman"/>
                <w:sz w:val="24"/>
                <w:szCs w:val="20"/>
                <w:highlight w:val="none"/>
                <w:lang w:eastAsia="zh-CN"/>
              </w:rPr>
            </w:pPr>
            <w:r>
              <w:rPr>
                <w:rFonts w:hint="eastAsia" w:ascii="Times New Roman" w:hAnsi="Times New Roman" w:eastAsia="宋体" w:cs="Times New Roman"/>
                <w:sz w:val="24"/>
                <w:szCs w:val="20"/>
                <w:highlight w:val="none"/>
                <w:lang w:val="en-US" w:eastAsia="zh-CN"/>
              </w:rPr>
              <w:t>9</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lang w:val="en-US" w:eastAsia="zh-CN"/>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份（包含：</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.全套投标文件正本（加盖公章）：</w:t>
            </w:r>
            <w:r>
              <w:rPr>
                <w:rFonts w:hint="eastAsia" w:ascii="Times New Roman" w:hAnsi="Times New Roman" w:eastAsia="宋体" w:cs="Times New Roman"/>
                <w:sz w:val="24"/>
                <w:szCs w:val="20"/>
                <w:highlight w:val="none"/>
              </w:rPr>
              <w:t>PDF</w:t>
            </w:r>
            <w:r>
              <w:rPr>
                <w:rFonts w:hint="eastAsia" w:ascii="宋体" w:hAnsi="宋体" w:eastAsia="宋体" w:cs="Times New Roman"/>
                <w:sz w:val="24"/>
                <w:szCs w:val="20"/>
                <w:highlight w:val="none"/>
              </w:rPr>
              <w:t>格式；</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.技术偏离表：</w:t>
            </w:r>
            <w:r>
              <w:rPr>
                <w:rFonts w:hint="eastAsia" w:ascii="Times New Roman" w:hAnsi="Times New Roman" w:eastAsia="宋体" w:cs="Times New Roman"/>
                <w:sz w:val="24"/>
                <w:szCs w:val="20"/>
                <w:highlight w:val="none"/>
              </w:rPr>
              <w:t>excel</w:t>
            </w:r>
            <w:r>
              <w:rPr>
                <w:rFonts w:hint="eastAsia" w:ascii="宋体" w:hAnsi="宋体" w:eastAsia="宋体" w:cs="Times New Roman"/>
                <w:sz w:val="24"/>
                <w:szCs w:val="20"/>
                <w:highlight w:val="none"/>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10</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70"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hint="eastAsia" w:ascii="Times New Roman" w:hAnsi="Times New Roman" w:eastAsia="宋体" w:cs="Times New Roman"/>
                <w:sz w:val="24"/>
                <w:szCs w:val="20"/>
                <w:highlight w:val="none"/>
                <w:lang w:val="en-US" w:eastAsia="zh-CN"/>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w:t>
            </w:r>
            <w:r>
              <w:rPr>
                <w:rFonts w:hint="eastAsia" w:ascii="Times New Roman" w:hAnsi="Times New Roman" w:eastAsia="宋体" w:cs="Times New Roman"/>
                <w:sz w:val="24"/>
                <w:szCs w:val="20"/>
                <w:highlight w:val="none"/>
                <w:lang w:val="en-US" w:eastAsia="zh-CN"/>
              </w:rPr>
              <w:t>1</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hint="eastAsia" w:ascii="Times New Roman" w:hAnsi="Times New Roman" w:eastAsia="宋体" w:cs="Times New Roman"/>
                <w:sz w:val="24"/>
                <w:szCs w:val="20"/>
                <w:highlight w:val="none"/>
                <w:lang w:val="en-US" w:eastAsia="zh-CN"/>
              </w:rPr>
              <w:t>2</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w:t>
            </w:r>
            <w:r>
              <w:rPr>
                <w:rFonts w:hint="eastAsia" w:ascii="宋体" w:hAnsi="宋体" w:eastAsia="宋体" w:cs="Times New Roman"/>
                <w:sz w:val="24"/>
                <w:szCs w:val="20"/>
                <w:highlight w:val="none"/>
                <w:lang w:val="en-US" w:eastAsia="zh-CN"/>
              </w:rPr>
              <w:t>3</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rPr>
              <w:t>1</w:t>
            </w:r>
          </w:p>
        </w:tc>
        <w:tc>
          <w:tcPr>
            <w:tcW w:w="4470"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hint="eastAsia" w:ascii="宋体" w:hAnsi="宋体" w:eastAsia="宋体" w:cs="Times New Roman"/>
                <w:sz w:val="24"/>
                <w:szCs w:val="20"/>
                <w:highlight w:val="none"/>
                <w:lang w:val="en-US" w:eastAsia="zh-CN"/>
              </w:rPr>
              <w:t>3</w:t>
            </w:r>
            <w:r>
              <w:rPr>
                <w:rFonts w:ascii="宋体" w:hAnsi="宋体" w:eastAsia="宋体" w:cs="Times New Roman"/>
                <w:sz w:val="24"/>
                <w:szCs w:val="20"/>
                <w:highlight w:val="none"/>
              </w:rPr>
              <w:t>.2</w:t>
            </w:r>
          </w:p>
        </w:tc>
        <w:tc>
          <w:tcPr>
            <w:tcW w:w="4470"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val="0"/>
                <w:bCs/>
                <w:sz w:val="24"/>
                <w:szCs w:val="20"/>
                <w:highlight w:val="none"/>
              </w:rPr>
              <w:t>1</w:t>
            </w:r>
            <w:r>
              <w:rPr>
                <w:rFonts w:hint="eastAsia" w:ascii="宋体" w:hAnsi="宋体" w:eastAsia="宋体" w:cs="Times New Roman"/>
                <w:b w:val="0"/>
                <w:bCs/>
                <w:sz w:val="24"/>
                <w:szCs w:val="20"/>
                <w:highlight w:val="none"/>
                <w:lang w:val="en-US" w:eastAsia="zh-CN"/>
              </w:rPr>
              <w:t>3</w:t>
            </w:r>
            <w:r>
              <w:rPr>
                <w:rFonts w:ascii="宋体" w:hAnsi="宋体" w:eastAsia="宋体" w:cs="Times New Roman"/>
                <w:b w:val="0"/>
                <w:bCs/>
                <w:sz w:val="24"/>
                <w:szCs w:val="20"/>
                <w:highlight w:val="none"/>
              </w:rPr>
              <w:t>.3</w:t>
            </w:r>
          </w:p>
        </w:tc>
        <w:tc>
          <w:tcPr>
            <w:tcW w:w="4470"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val="0"/>
                <w:bCs/>
                <w:sz w:val="24"/>
                <w:szCs w:val="20"/>
                <w:highlight w:val="none"/>
              </w:rPr>
              <w:t>1</w:t>
            </w:r>
            <w:r>
              <w:rPr>
                <w:rFonts w:hint="eastAsia" w:ascii="宋体" w:hAnsi="宋体" w:eastAsia="宋体" w:cs="Times New Roman"/>
                <w:b w:val="0"/>
                <w:bCs/>
                <w:sz w:val="24"/>
                <w:szCs w:val="20"/>
                <w:highlight w:val="none"/>
                <w:lang w:val="en-US" w:eastAsia="zh-CN"/>
              </w:rPr>
              <w:t>3</w:t>
            </w:r>
            <w:r>
              <w:rPr>
                <w:rFonts w:ascii="宋体" w:hAnsi="宋体" w:eastAsia="宋体" w:cs="Times New Roman"/>
                <w:b w:val="0"/>
                <w:bCs/>
                <w:sz w:val="24"/>
                <w:szCs w:val="20"/>
                <w:highlight w:val="none"/>
              </w:rPr>
              <w:t>.4</w:t>
            </w:r>
          </w:p>
        </w:tc>
        <w:tc>
          <w:tcPr>
            <w:tcW w:w="4470"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70"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hint="eastAsia" w:ascii="宋体" w:hAnsi="宋体" w:eastAsia="宋体" w:cs="Times New Roman"/>
                <w:sz w:val="24"/>
                <w:szCs w:val="20"/>
                <w:highlight w:val="none"/>
                <w:lang w:eastAsia="zh-CN"/>
              </w:rPr>
            </w:pPr>
            <w:r>
              <w:rPr>
                <w:rFonts w:ascii="Times New Roman" w:hAnsi="Times New Roman" w:eastAsia="宋体" w:cs="Times New Roman"/>
                <w:sz w:val="24"/>
                <w:szCs w:val="20"/>
                <w:highlight w:val="none"/>
              </w:rPr>
              <w:t>1</w:t>
            </w:r>
            <w:r>
              <w:rPr>
                <w:rFonts w:hint="eastAsia" w:ascii="Times New Roman" w:hAnsi="Times New Roman" w:eastAsia="宋体" w:cs="Times New Roman"/>
                <w:sz w:val="24"/>
                <w:szCs w:val="20"/>
                <w:highlight w:val="none"/>
                <w:lang w:val="en-US" w:eastAsia="zh-CN"/>
              </w:rPr>
              <w:t>4</w:t>
            </w:r>
          </w:p>
        </w:tc>
        <w:tc>
          <w:tcPr>
            <w:tcW w:w="4470"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p>
        </w:tc>
        <w:tc>
          <w:tcPr>
            <w:tcW w:w="4470" w:type="pct"/>
            <w:vAlign w:val="center"/>
          </w:tcPr>
          <w:p>
            <w:pPr>
              <w:adjustRightInd w:val="0"/>
              <w:snapToGrid w:val="0"/>
              <w:spacing w:line="360" w:lineRule="auto"/>
              <w:textAlignment w:val="center"/>
              <w:rPr>
                <w:rFonts w:ascii="宋体" w:hAnsi="宋体" w:eastAsia="宋体" w:cs="Times New Roman"/>
                <w:sz w:val="24"/>
                <w:szCs w:val="20"/>
                <w:highlight w:val="none"/>
              </w:rPr>
            </w:pPr>
          </w:p>
        </w:tc>
      </w:tr>
    </w:tbl>
    <w:p>
      <w:pPr>
        <w:rPr>
          <w:rFonts w:ascii="Times New Roman" w:hAnsi="Times New Roman" w:eastAsia="宋体" w:cs="Times New Roman"/>
          <w:b/>
          <w:kern w:val="44"/>
          <w:sz w:val="36"/>
          <w:szCs w:val="20"/>
          <w:highlight w:val="none"/>
        </w:rPr>
      </w:pPr>
      <w:bookmarkStart w:id="12" w:name="_Toc11326094"/>
      <w:bookmarkStart w:id="13" w:name="_Toc9066360"/>
      <w:r>
        <w:rPr>
          <w:rFonts w:ascii="Times New Roman" w:hAnsi="Times New Roman" w:eastAsia="宋体" w:cs="Times New Roman"/>
          <w:b/>
          <w:kern w:val="44"/>
          <w:sz w:val="36"/>
          <w:szCs w:val="20"/>
          <w:highlight w:val="none"/>
        </w:rPr>
        <w:br w:type="page"/>
      </w:r>
    </w:p>
    <w:p>
      <w:pPr>
        <w:keepNext/>
        <w:keepLines/>
        <w:numPr>
          <w:ilvl w:val="0"/>
          <w:numId w:val="4"/>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w:t>
      </w:r>
      <w:r>
        <w:rPr>
          <w:rFonts w:hint="eastAsia" w:ascii="Times New Roman" w:hAnsi="Times New Roman" w:eastAsia="宋体" w:cs="Times New Roman"/>
          <w:b/>
          <w:kern w:val="44"/>
          <w:sz w:val="36"/>
          <w:szCs w:val="20"/>
          <w:highlight w:val="none"/>
          <w:lang w:val="en-US" w:eastAsia="zh-CN"/>
        </w:rPr>
        <w:t>项目</w:t>
      </w:r>
      <w:r>
        <w:rPr>
          <w:rFonts w:hint="eastAsia" w:ascii="Times New Roman" w:hAnsi="Times New Roman" w:eastAsia="宋体" w:cs="Times New Roman"/>
          <w:b/>
          <w:kern w:val="44"/>
          <w:sz w:val="36"/>
          <w:szCs w:val="20"/>
          <w:highlight w:val="none"/>
        </w:rPr>
        <w:t>需求及技术规格</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一、技术及功能要求：</w:t>
      </w:r>
    </w:p>
    <w:bookmarkEnd w:id="12"/>
    <w:bookmarkEnd w:id="13"/>
    <w:tbl>
      <w:tblPr>
        <w:tblStyle w:val="31"/>
        <w:tblW w:w="8358"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2739"/>
        <w:gridCol w:w="4020"/>
        <w:gridCol w:w="98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
                <w:bCs/>
                <w:kern w:val="44"/>
                <w:sz w:val="24"/>
                <w:szCs w:val="24"/>
              </w:rPr>
            </w:pPr>
            <w:bookmarkStart w:id="14" w:name="_Toc11326096"/>
            <w:r>
              <w:rPr>
                <w:rFonts w:hint="eastAsia" w:ascii="宋体" w:hAnsi="宋体" w:eastAsia="宋体" w:cs="宋体"/>
                <w:b/>
                <w:bCs/>
                <w:kern w:val="44"/>
                <w:sz w:val="24"/>
                <w:szCs w:val="24"/>
              </w:rPr>
              <w:t>序号</w:t>
            </w:r>
          </w:p>
        </w:tc>
        <w:tc>
          <w:tcPr>
            <w:tcW w:w="2739" w:type="dxa"/>
            <w:vAlign w:val="center"/>
          </w:tcPr>
          <w:p>
            <w:pPr>
              <w:spacing w:line="360" w:lineRule="auto"/>
              <w:jc w:val="center"/>
              <w:rPr>
                <w:rFonts w:hint="eastAsia" w:ascii="宋体" w:hAnsi="宋体" w:eastAsia="宋体" w:cs="宋体"/>
                <w:b/>
                <w:bCs/>
                <w:kern w:val="44"/>
                <w:sz w:val="24"/>
                <w:szCs w:val="24"/>
              </w:rPr>
            </w:pPr>
            <w:r>
              <w:rPr>
                <w:rFonts w:hint="eastAsia" w:ascii="宋体" w:hAnsi="宋体" w:eastAsia="宋体" w:cs="宋体"/>
                <w:b/>
                <w:bCs/>
                <w:kern w:val="44"/>
                <w:sz w:val="24"/>
                <w:szCs w:val="24"/>
              </w:rPr>
              <w:t>项目</w:t>
            </w:r>
          </w:p>
        </w:tc>
        <w:tc>
          <w:tcPr>
            <w:tcW w:w="4020" w:type="dxa"/>
            <w:vAlign w:val="center"/>
          </w:tcPr>
          <w:p>
            <w:pPr>
              <w:spacing w:line="360" w:lineRule="auto"/>
              <w:jc w:val="center"/>
              <w:rPr>
                <w:rFonts w:hint="eastAsia" w:ascii="宋体" w:hAnsi="宋体" w:eastAsia="宋体" w:cs="宋体"/>
                <w:b/>
                <w:bCs/>
                <w:kern w:val="44"/>
                <w:sz w:val="24"/>
                <w:szCs w:val="24"/>
              </w:rPr>
            </w:pPr>
            <w:r>
              <w:rPr>
                <w:rFonts w:hint="eastAsia" w:ascii="宋体" w:hAnsi="宋体" w:eastAsia="宋体" w:cs="宋体"/>
                <w:b/>
                <w:bCs/>
                <w:kern w:val="44"/>
                <w:sz w:val="24"/>
                <w:szCs w:val="24"/>
              </w:rPr>
              <w:t>规格描述</w:t>
            </w:r>
          </w:p>
        </w:tc>
        <w:tc>
          <w:tcPr>
            <w:tcW w:w="987" w:type="dxa"/>
            <w:vAlign w:val="center"/>
          </w:tcPr>
          <w:p>
            <w:pPr>
              <w:spacing w:line="360" w:lineRule="auto"/>
              <w:jc w:val="center"/>
              <w:rPr>
                <w:rFonts w:hint="eastAsia" w:ascii="宋体" w:hAnsi="宋体" w:eastAsia="宋体" w:cs="宋体"/>
                <w:b/>
                <w:bCs/>
                <w:kern w:val="44"/>
                <w:sz w:val="24"/>
                <w:szCs w:val="24"/>
              </w:rPr>
            </w:pPr>
            <w:r>
              <w:rPr>
                <w:rFonts w:hint="eastAsia" w:ascii="宋体" w:hAnsi="宋体" w:eastAsia="宋体" w:cs="宋体"/>
                <w:b/>
                <w:bCs/>
                <w:kern w:val="44"/>
                <w:sz w:val="24"/>
                <w:szCs w:val="24"/>
              </w:rPr>
              <w:t>数量（套）</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（一）互联网医院平台</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一、在线检验检查开单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医技项目同步</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实现医技项目与HIS系统同步</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在线检验检查开单</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患者在线开具检验检查申请单</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3</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在线支付</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支持在线支付检验检查费用</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二、远程探视服务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4</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探视申请</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家属在线提交远程探视申请</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5</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申请审核</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医护人员审核探视申请</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6</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家属探视</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视频通话实现远程探视</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三、线上住院服务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7</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电子陪护证</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在线办理电子陪护证</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8</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住院预交金</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在线缴纳住院预交金</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9</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住院清单查询</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在线查询住院费用清单</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四、便民惠民服务升级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10</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药品查询</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在线查询药品信息及库存</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11</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配送地址维护</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维护患者药品配送地址</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12</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到院取药</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预约到院取药时间</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13</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线上咨询</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在线图文/视频咨询</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14</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咨询转复诊</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咨询服务转复诊开方</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15</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大病登记</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大病医保患者在线登记</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16</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大病医保诊疗</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大病医保在线诊疗服务</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17</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跨院复诊</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支持跨院复诊服务</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18</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'一老一小'和志愿者代配药</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为老人、儿童提供志愿者代配药服务</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五、适老化改造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19</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适老化切换入口</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提供便捷的适老化版本切换入口</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20</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适老化首页改造</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大字体、大图标首页设计</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21</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挂号服务改造</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简化挂号流程，适合老年人操作</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22</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在线支付改造</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适老化支付界面设计</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23</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检验检查报告查询改造</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简化报告查询界面</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8" w:type="dxa"/>
            <w:gridSpan w:val="4"/>
            <w:vAlign w:val="center"/>
          </w:tcPr>
          <w:p>
            <w:pPr>
              <w:spacing w:line="360" w:lineRule="auto"/>
              <w:rPr>
                <w:rFonts w:hint="eastAsia" w:ascii="宋体" w:hAnsi="宋体" w:eastAsia="宋体" w:cs="宋体"/>
                <w:b/>
                <w:bCs/>
                <w:kern w:val="44"/>
                <w:sz w:val="24"/>
                <w:szCs w:val="24"/>
              </w:rPr>
            </w:pPr>
            <w:r>
              <w:rPr>
                <w:rFonts w:hint="eastAsia" w:ascii="宋体" w:hAnsi="宋体" w:eastAsia="宋体" w:cs="宋体"/>
                <w:b/>
                <w:bCs/>
                <w:kern w:val="44"/>
                <w:sz w:val="24"/>
                <w:szCs w:val="24"/>
              </w:rPr>
              <w:t>六、医联体数据采集平台</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24</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医联体质控管理</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医联体质量控制管理功能</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25</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数据采集</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采集医联体内各医院数据</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26</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脉诊数据采集</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中医脉诊数据采集与分析</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27</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患者管理</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医联体患者信息统一管理</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2"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28</w:t>
            </w:r>
          </w:p>
        </w:tc>
        <w:tc>
          <w:tcPr>
            <w:tcW w:w="2739"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接口对接</w:t>
            </w:r>
          </w:p>
        </w:tc>
        <w:tc>
          <w:tcPr>
            <w:tcW w:w="4020" w:type="dxa"/>
            <w:vAlign w:val="center"/>
          </w:tcPr>
          <w:p>
            <w:pPr>
              <w:spacing w:line="360" w:lineRule="auto"/>
              <w:rPr>
                <w:rFonts w:hint="eastAsia" w:ascii="宋体" w:hAnsi="宋体" w:eastAsia="宋体" w:cs="宋体"/>
                <w:bCs/>
                <w:kern w:val="44"/>
                <w:sz w:val="24"/>
                <w:szCs w:val="24"/>
              </w:rPr>
            </w:pPr>
            <w:r>
              <w:rPr>
                <w:rFonts w:hint="eastAsia" w:ascii="宋体" w:hAnsi="宋体" w:eastAsia="宋体" w:cs="宋体"/>
                <w:bCs/>
                <w:kern w:val="44"/>
                <w:sz w:val="24"/>
                <w:szCs w:val="24"/>
              </w:rPr>
              <w:t>与各医院系统接口对接</w:t>
            </w:r>
          </w:p>
        </w:tc>
        <w:tc>
          <w:tcPr>
            <w:tcW w:w="987" w:type="dxa"/>
            <w:vAlign w:val="center"/>
          </w:tcPr>
          <w:p>
            <w:pPr>
              <w:spacing w:line="360" w:lineRule="auto"/>
              <w:jc w:val="center"/>
              <w:rPr>
                <w:rFonts w:hint="eastAsia" w:ascii="宋体" w:hAnsi="宋体" w:eastAsia="宋体" w:cs="宋体"/>
                <w:bCs/>
                <w:kern w:val="44"/>
                <w:sz w:val="24"/>
                <w:szCs w:val="24"/>
              </w:rPr>
            </w:pPr>
            <w:r>
              <w:rPr>
                <w:rFonts w:hint="eastAsia" w:ascii="宋体" w:hAnsi="宋体" w:eastAsia="宋体" w:cs="宋体"/>
                <w:bCs/>
                <w:kern w:val="44"/>
                <w:sz w:val="24"/>
                <w:szCs w:val="24"/>
              </w:rPr>
              <w:t>1</w:t>
            </w:r>
          </w:p>
        </w:tc>
      </w:tr>
    </w:tbl>
    <w:p>
      <w:pPr>
        <w:pStyle w:val="213"/>
        <w:ind w:left="0" w:leftChars="0" w:firstLine="0" w:firstLineChars="0"/>
        <w:jc w:val="left"/>
        <w:rPr>
          <w:rFonts w:hint="eastAsia" w:ascii="宋体" w:eastAsia="宋体" w:cs="宋体"/>
          <w:bCs/>
          <w:kern w:val="0"/>
          <w:sz w:val="24"/>
          <w:szCs w:val="24"/>
        </w:rPr>
      </w:pPr>
      <w:r>
        <w:rPr>
          <w:rFonts w:hint="eastAsia" w:ascii="宋体" w:eastAsia="宋体" w:cs="宋体"/>
          <w:b/>
          <w:bCs w:val="0"/>
          <w:kern w:val="0"/>
          <w:sz w:val="24"/>
          <w:szCs w:val="24"/>
          <w:lang w:val="en-US" w:eastAsia="zh-CN"/>
        </w:rPr>
        <w:t>二、</w:t>
      </w:r>
      <w:r>
        <w:rPr>
          <w:rFonts w:hint="eastAsia" w:ascii="宋体" w:eastAsia="宋体" w:cs="宋体"/>
          <w:b/>
          <w:bCs w:val="0"/>
          <w:kern w:val="0"/>
          <w:sz w:val="24"/>
          <w:szCs w:val="24"/>
        </w:rPr>
        <w:t>功能模块：</w:t>
      </w:r>
    </w:p>
    <w:tbl>
      <w:tblPr>
        <w:tblStyle w:val="32"/>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0"/>
        <w:gridCol w:w="5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系统</w:t>
            </w:r>
          </w:p>
        </w:tc>
        <w:tc>
          <w:tcPr>
            <w:tcW w:w="5007" w:type="dxa"/>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restart"/>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互联网医院平台</w:t>
            </w: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在线检验检查开单模块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continue"/>
          </w:tcPr>
          <w:p>
            <w:pPr>
              <w:pStyle w:val="213"/>
              <w:spacing w:line="240" w:lineRule="auto"/>
              <w:ind w:firstLine="0" w:firstLineChars="0"/>
              <w:jc w:val="left"/>
              <w:rPr>
                <w:rFonts w:hint="eastAsia" w:ascii="宋体" w:eastAsia="宋体" w:cs="宋体"/>
                <w:bCs/>
                <w:kern w:val="0"/>
                <w:sz w:val="24"/>
                <w:szCs w:val="24"/>
              </w:rPr>
            </w:pP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远程探视服务模块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continue"/>
          </w:tcPr>
          <w:p>
            <w:pPr>
              <w:pStyle w:val="213"/>
              <w:spacing w:line="240" w:lineRule="auto"/>
              <w:ind w:firstLine="0" w:firstLineChars="0"/>
              <w:jc w:val="left"/>
              <w:rPr>
                <w:rFonts w:hint="eastAsia" w:ascii="宋体" w:eastAsia="宋体" w:cs="宋体"/>
                <w:bCs/>
                <w:kern w:val="0"/>
                <w:sz w:val="24"/>
                <w:szCs w:val="24"/>
              </w:rPr>
            </w:pP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线上住院服务模块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continue"/>
          </w:tcPr>
          <w:p>
            <w:pPr>
              <w:pStyle w:val="213"/>
              <w:spacing w:line="240" w:lineRule="auto"/>
              <w:ind w:firstLine="0" w:firstLineChars="0"/>
              <w:jc w:val="left"/>
              <w:rPr>
                <w:rFonts w:hint="eastAsia" w:ascii="宋体" w:eastAsia="宋体" w:cs="宋体"/>
                <w:bCs/>
                <w:kern w:val="0"/>
                <w:sz w:val="24"/>
                <w:szCs w:val="24"/>
              </w:rPr>
            </w:pP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便民惠民服务升级模块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continue"/>
          </w:tcPr>
          <w:p>
            <w:pPr>
              <w:pStyle w:val="213"/>
              <w:spacing w:line="240" w:lineRule="auto"/>
              <w:ind w:firstLine="0" w:firstLineChars="0"/>
              <w:jc w:val="left"/>
              <w:rPr>
                <w:rFonts w:hint="eastAsia" w:ascii="宋体" w:eastAsia="宋体" w:cs="宋体"/>
                <w:bCs/>
                <w:kern w:val="0"/>
                <w:sz w:val="24"/>
                <w:szCs w:val="24"/>
              </w:rPr>
            </w:pP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适老化改造模块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0" w:type="dxa"/>
            <w:vMerge w:val="continue"/>
          </w:tcPr>
          <w:p>
            <w:pPr>
              <w:pStyle w:val="213"/>
              <w:spacing w:line="240" w:lineRule="auto"/>
              <w:ind w:firstLine="0" w:firstLineChars="0"/>
              <w:jc w:val="left"/>
              <w:rPr>
                <w:rFonts w:hint="eastAsia" w:ascii="宋体" w:eastAsia="宋体" w:cs="宋体"/>
                <w:bCs/>
                <w:kern w:val="0"/>
                <w:sz w:val="24"/>
                <w:szCs w:val="24"/>
              </w:rPr>
            </w:pPr>
          </w:p>
        </w:tc>
        <w:tc>
          <w:tcPr>
            <w:tcW w:w="5007" w:type="dxa"/>
            <w:vAlign w:val="center"/>
          </w:tcPr>
          <w:p>
            <w:pPr>
              <w:pStyle w:val="213"/>
              <w:spacing w:line="240" w:lineRule="auto"/>
              <w:ind w:firstLine="0" w:firstLineChars="0"/>
              <w:jc w:val="center"/>
              <w:rPr>
                <w:rFonts w:hint="eastAsia" w:ascii="宋体" w:eastAsia="宋体" w:cs="宋体"/>
                <w:bCs/>
                <w:kern w:val="0"/>
                <w:sz w:val="24"/>
                <w:szCs w:val="24"/>
              </w:rPr>
            </w:pPr>
            <w:r>
              <w:rPr>
                <w:rFonts w:hint="eastAsia" w:ascii="宋体" w:eastAsia="宋体" w:cs="宋体"/>
                <w:bCs/>
                <w:kern w:val="0"/>
                <w:sz w:val="24"/>
                <w:szCs w:val="24"/>
              </w:rPr>
              <w:t>医联体数据采集平台模块</w:t>
            </w:r>
          </w:p>
        </w:tc>
      </w:tr>
    </w:tbl>
    <w:p>
      <w:pPr>
        <w:spacing w:line="360" w:lineRule="auto"/>
        <w:rPr>
          <w:rFonts w:hint="eastAsia" w:ascii="宋体" w:eastAsia="宋体" w:cs="宋体"/>
          <w:bCs/>
          <w:kern w:val="0"/>
          <w:sz w:val="24"/>
          <w:szCs w:val="24"/>
        </w:rPr>
      </w:pPr>
      <w:r>
        <w:rPr>
          <w:rFonts w:hint="eastAsia" w:ascii="宋体" w:eastAsia="宋体" w:cs="宋体"/>
          <w:bCs/>
          <w:kern w:val="0"/>
          <w:sz w:val="24"/>
          <w:szCs w:val="24"/>
        </w:rPr>
        <w:t>除以上功能模块外，未列出的互联网医院功能模块均包含在本次招标范围内。</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服务要求</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（1）应用系统维护 </w:t>
      </w:r>
    </w:p>
    <w:p>
      <w:pPr>
        <w:spacing w:line="360" w:lineRule="auto"/>
        <w:rPr>
          <w:rFonts w:hint="eastAsia" w:ascii="宋体" w:hAnsi="宋体" w:eastAsia="宋体" w:cs="宋体"/>
          <w:sz w:val="24"/>
          <w:szCs w:val="24"/>
        </w:rPr>
      </w:pPr>
      <w:r>
        <w:rPr>
          <w:rFonts w:hint="eastAsia" w:ascii="宋体" w:hAnsi="宋体" w:eastAsia="宋体" w:cs="宋体"/>
          <w:sz w:val="24"/>
          <w:szCs w:val="24"/>
        </w:rPr>
        <w:t>此项服务主要针对运行的应用软件，进行日常维护，服务内容包括：</w:t>
      </w:r>
    </w:p>
    <w:p>
      <w:pPr>
        <w:spacing w:line="360" w:lineRule="auto"/>
        <w:rPr>
          <w:rFonts w:hint="eastAsia" w:ascii="宋体" w:hAnsi="宋体" w:eastAsia="宋体" w:cs="宋体"/>
          <w:sz w:val="24"/>
          <w:szCs w:val="24"/>
        </w:rPr>
      </w:pPr>
      <w:r>
        <w:rPr>
          <w:rFonts w:hint="eastAsia" w:ascii="宋体" w:hAnsi="宋体" w:eastAsia="宋体" w:cs="宋体"/>
          <w:sz w:val="24"/>
          <w:szCs w:val="24"/>
        </w:rPr>
        <w:t>1）系统软件日常维护，巡检数据库、中间件维护，是否有异常数据增长、必要的过期数据备份后移除，系统的参数配置是否合理准确，服务器及存储的资源使用是否在合理范围。</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2）数据库及应用备份是否正常。 </w:t>
      </w:r>
    </w:p>
    <w:p>
      <w:pPr>
        <w:spacing w:line="360" w:lineRule="auto"/>
        <w:rPr>
          <w:rFonts w:hint="eastAsia" w:ascii="宋体" w:hAnsi="宋体" w:eastAsia="宋体" w:cs="宋体"/>
          <w:sz w:val="24"/>
          <w:szCs w:val="24"/>
        </w:rPr>
      </w:pPr>
      <w:r>
        <w:rPr>
          <w:rFonts w:hint="eastAsia" w:ascii="宋体" w:hAnsi="宋体" w:eastAsia="宋体" w:cs="宋体"/>
          <w:sz w:val="24"/>
          <w:szCs w:val="24"/>
        </w:rPr>
        <w:t>3）维护范围为医院与公司所购置的所有应用软件。</w:t>
      </w:r>
    </w:p>
    <w:p>
      <w:pPr>
        <w:spacing w:line="360" w:lineRule="auto"/>
        <w:rPr>
          <w:rFonts w:hint="eastAsia" w:ascii="宋体" w:hAnsi="宋体" w:eastAsia="宋体" w:cs="宋体"/>
          <w:sz w:val="24"/>
          <w:szCs w:val="24"/>
        </w:rPr>
      </w:pPr>
      <w:r>
        <w:rPr>
          <w:rFonts w:hint="eastAsia" w:ascii="宋体" w:hAnsi="宋体" w:eastAsia="宋体" w:cs="宋体"/>
          <w:sz w:val="24"/>
          <w:szCs w:val="24"/>
        </w:rPr>
        <w:t>4）应用软件日常维护，应用系统参数配置是否适当，用户使用是否流畅。</w:t>
      </w:r>
    </w:p>
    <w:p>
      <w:pPr>
        <w:spacing w:line="360" w:lineRule="auto"/>
        <w:rPr>
          <w:rFonts w:hint="eastAsia" w:ascii="宋体" w:hAnsi="宋体" w:eastAsia="宋体" w:cs="宋体"/>
          <w:sz w:val="24"/>
          <w:szCs w:val="24"/>
        </w:rPr>
      </w:pPr>
      <w:r>
        <w:rPr>
          <w:rFonts w:hint="eastAsia" w:ascii="宋体" w:hAnsi="宋体" w:eastAsia="宋体" w:cs="宋体"/>
          <w:sz w:val="24"/>
          <w:szCs w:val="24"/>
        </w:rPr>
        <w:t>5）对运行中发现的软件缺陷进行修改，一般缺陷，医院提交后不超过10个工作日。影响业务运行的，不超过48小时。重大故障2小时现场解决。</w:t>
      </w:r>
    </w:p>
    <w:p>
      <w:pPr>
        <w:spacing w:line="360" w:lineRule="auto"/>
        <w:rPr>
          <w:rFonts w:hint="eastAsia" w:ascii="宋体" w:hAnsi="宋体" w:eastAsia="宋体" w:cs="宋体"/>
          <w:sz w:val="24"/>
          <w:szCs w:val="24"/>
        </w:rPr>
      </w:pPr>
      <w:r>
        <w:rPr>
          <w:rFonts w:hint="eastAsia" w:ascii="宋体" w:hAnsi="宋体" w:eastAsia="宋体" w:cs="宋体"/>
          <w:sz w:val="24"/>
          <w:szCs w:val="24"/>
        </w:rPr>
        <w:t>6）对医院提出的变更需求，在合同规定的工作量范围内进行修改，并协助用户培训和上线支持。</w:t>
      </w:r>
    </w:p>
    <w:p>
      <w:pPr>
        <w:spacing w:line="360" w:lineRule="auto"/>
        <w:rPr>
          <w:rFonts w:hint="eastAsia" w:ascii="宋体" w:hAnsi="宋体" w:eastAsia="宋体" w:cs="宋体"/>
          <w:sz w:val="24"/>
          <w:szCs w:val="24"/>
        </w:rPr>
      </w:pPr>
      <w:r>
        <w:rPr>
          <w:rFonts w:hint="eastAsia" w:ascii="宋体" w:hAnsi="宋体" w:eastAsia="宋体" w:cs="宋体"/>
          <w:sz w:val="24"/>
          <w:szCs w:val="24"/>
        </w:rPr>
        <w:t>7）保障应用系统与其它应用系统的数据交换共享的接口。</w:t>
      </w:r>
    </w:p>
    <w:p>
      <w:pPr>
        <w:spacing w:line="360" w:lineRule="auto"/>
        <w:rPr>
          <w:rFonts w:hint="eastAsia" w:ascii="宋体" w:hAnsi="宋体" w:eastAsia="宋体" w:cs="宋体"/>
          <w:sz w:val="24"/>
          <w:szCs w:val="24"/>
        </w:rPr>
      </w:pPr>
      <w:r>
        <w:rPr>
          <w:rFonts w:hint="eastAsia" w:ascii="宋体" w:hAnsi="宋体" w:eastAsia="宋体" w:cs="宋体"/>
          <w:sz w:val="24"/>
          <w:szCs w:val="24"/>
        </w:rPr>
        <w:t>（2）人员服务要求</w:t>
      </w:r>
    </w:p>
    <w:p>
      <w:pPr>
        <w:spacing w:line="360" w:lineRule="auto"/>
        <w:rPr>
          <w:rFonts w:hint="eastAsia" w:ascii="宋体" w:hAnsi="宋体" w:eastAsia="宋体" w:cs="宋体"/>
          <w:sz w:val="24"/>
          <w:szCs w:val="24"/>
        </w:rPr>
      </w:pPr>
      <w:r>
        <w:rPr>
          <w:rFonts w:hint="eastAsia" w:ascii="宋体" w:hAnsi="宋体" w:eastAsia="宋体" w:cs="宋体"/>
          <w:sz w:val="24"/>
          <w:szCs w:val="24"/>
        </w:rPr>
        <w:t>1）安排1位员工负责医院系统的运行，员工必须有公司正式用工合同（有正式社保证明），至少3年以上专业工作经验。</w:t>
      </w:r>
    </w:p>
    <w:p>
      <w:pPr>
        <w:spacing w:line="360" w:lineRule="auto"/>
        <w:rPr>
          <w:rFonts w:hint="eastAsia" w:ascii="宋体" w:hAnsi="宋体" w:eastAsia="宋体" w:cs="宋体"/>
          <w:sz w:val="24"/>
          <w:szCs w:val="24"/>
        </w:rPr>
      </w:pPr>
      <w:r>
        <w:rPr>
          <w:rFonts w:hint="eastAsia" w:ascii="宋体" w:hAnsi="宋体" w:eastAsia="宋体" w:cs="宋体"/>
          <w:sz w:val="24"/>
          <w:szCs w:val="24"/>
        </w:rPr>
        <w:t>2）遵守用户的各项规章制度，严格按照用户相应的规章制度办事。</w:t>
      </w:r>
    </w:p>
    <w:p>
      <w:pPr>
        <w:spacing w:line="360" w:lineRule="auto"/>
        <w:rPr>
          <w:rFonts w:hint="eastAsia" w:ascii="宋体" w:hAnsi="宋体" w:eastAsia="宋体" w:cs="宋体"/>
          <w:sz w:val="24"/>
          <w:szCs w:val="24"/>
        </w:rPr>
      </w:pPr>
      <w:r>
        <w:rPr>
          <w:rFonts w:hint="eastAsia" w:ascii="宋体" w:hAnsi="宋体" w:eastAsia="宋体" w:cs="宋体"/>
          <w:sz w:val="24"/>
          <w:szCs w:val="24"/>
        </w:rPr>
        <w:t>3）与用户运行维护体系其他部门和环节协同工作，密切配合，共同开展技术支持工作。</w:t>
      </w:r>
    </w:p>
    <w:p>
      <w:pPr>
        <w:spacing w:line="360" w:lineRule="auto"/>
        <w:rPr>
          <w:rFonts w:hint="eastAsia" w:ascii="宋体" w:hAnsi="宋体" w:eastAsia="宋体" w:cs="宋体"/>
          <w:sz w:val="24"/>
          <w:szCs w:val="24"/>
        </w:rPr>
      </w:pPr>
      <w:r>
        <w:rPr>
          <w:rFonts w:hint="eastAsia" w:ascii="宋体" w:hAnsi="宋体" w:eastAsia="宋体" w:cs="宋体"/>
          <w:sz w:val="24"/>
          <w:szCs w:val="24"/>
        </w:rPr>
        <w:t>4）出现疑难技术、业务问题和重大紧急情况时，及时向医院项目负责人和公司项目经理报告。</w:t>
      </w:r>
    </w:p>
    <w:p>
      <w:pPr>
        <w:spacing w:line="360" w:lineRule="auto"/>
        <w:rPr>
          <w:rFonts w:hint="eastAsia" w:ascii="宋体" w:hAnsi="宋体" w:eastAsia="宋体" w:cs="宋体"/>
          <w:sz w:val="24"/>
          <w:szCs w:val="24"/>
        </w:rPr>
      </w:pPr>
      <w:r>
        <w:rPr>
          <w:rFonts w:hint="eastAsia" w:ascii="宋体" w:hAnsi="宋体" w:eastAsia="宋体" w:cs="宋体"/>
          <w:sz w:val="24"/>
          <w:szCs w:val="24"/>
        </w:rPr>
        <w:t>5）现场技术支持时要精神饱满，穿着得体，谈吐文明，举止庄重。接听电话时要文明礼貌，语言清晰明了，语气和善。</w:t>
      </w:r>
    </w:p>
    <w:p>
      <w:pPr>
        <w:spacing w:line="360" w:lineRule="auto"/>
        <w:rPr>
          <w:rFonts w:hint="eastAsia" w:ascii="宋体" w:hAnsi="宋体" w:eastAsia="宋体" w:cs="宋体"/>
          <w:sz w:val="24"/>
          <w:szCs w:val="24"/>
        </w:rPr>
      </w:pPr>
      <w:r>
        <w:rPr>
          <w:rFonts w:hint="eastAsia" w:ascii="宋体" w:hAnsi="宋体" w:eastAsia="宋体" w:cs="宋体"/>
          <w:sz w:val="24"/>
          <w:szCs w:val="24"/>
        </w:rPr>
        <w:t>6）遵守保密原则。对医院的网络、主机、系统软件、应用软件等的密码、核心参数、业务数据等负有保密责任，未经医院书面同意不得随意复制和传播。公司及指派人员和医院签署信息安全保密协议。</w:t>
      </w:r>
    </w:p>
    <w:p>
      <w:pPr>
        <w:spacing w:line="360" w:lineRule="auto"/>
        <w:rPr>
          <w:rFonts w:hint="eastAsia" w:ascii="宋体" w:hAnsi="宋体" w:eastAsia="宋体" w:cs="宋体"/>
          <w:sz w:val="24"/>
          <w:szCs w:val="24"/>
        </w:rPr>
      </w:pPr>
      <w:r>
        <w:rPr>
          <w:rFonts w:hint="eastAsia" w:ascii="宋体" w:hAnsi="宋体" w:eastAsia="宋体" w:cs="宋体"/>
          <w:sz w:val="24"/>
          <w:szCs w:val="24"/>
        </w:rPr>
        <w:t>7）公司在投标文件中明确指派人员姓名及资历资质，未经医院方书面同意，不得改变指派人员。改变指派人员，必须在一个月前书面通知医院，经医院书面确认后，方可变更人员。（注：响应文件中提供团队人员名单、人员资质证书及服务商为团队人员缴纳的近3个月社保证明材料复印件并加盖供应商公章）</w:t>
      </w:r>
    </w:p>
    <w:p>
      <w:pPr>
        <w:spacing w:line="360" w:lineRule="auto"/>
        <w:rPr>
          <w:rFonts w:hint="eastAsia" w:ascii="宋体" w:hAnsi="宋体" w:eastAsia="宋体" w:cs="宋体"/>
          <w:sz w:val="24"/>
          <w:szCs w:val="24"/>
        </w:rPr>
      </w:pPr>
      <w:r>
        <w:rPr>
          <w:rFonts w:hint="eastAsia" w:ascii="宋体" w:hAnsi="宋体" w:eastAsia="宋体" w:cs="宋体"/>
          <w:sz w:val="24"/>
          <w:szCs w:val="24"/>
        </w:rPr>
        <w:t>8）对发生重大差错或工作不负责任的指定人员，医院有权要求公司改派人员。公司在接到医院书面通知后，10个工作日内改派人员，改派人员需经医院面试同意。</w:t>
      </w:r>
    </w:p>
    <w:p>
      <w:pPr>
        <w:spacing w:line="360" w:lineRule="auto"/>
        <w:rPr>
          <w:rFonts w:hint="eastAsia" w:ascii="宋体" w:hAnsi="宋体" w:eastAsia="宋体" w:cs="宋体"/>
          <w:sz w:val="24"/>
          <w:szCs w:val="24"/>
        </w:rPr>
      </w:pPr>
      <w:r>
        <w:rPr>
          <w:rFonts w:hint="eastAsia" w:ascii="宋体" w:hAnsi="宋体" w:eastAsia="宋体" w:cs="宋体"/>
          <w:sz w:val="24"/>
          <w:szCs w:val="24"/>
        </w:rPr>
        <w:t>9）现场支持工程师在进行现场支持工作时必须在保证数据和系统安全的前提下开展工作。</w:t>
      </w:r>
    </w:p>
    <w:p>
      <w:pPr>
        <w:spacing w:line="360" w:lineRule="auto"/>
        <w:rPr>
          <w:rFonts w:hint="eastAsia" w:ascii="宋体" w:hAnsi="宋体" w:eastAsia="宋体" w:cs="宋体"/>
          <w:sz w:val="24"/>
          <w:szCs w:val="24"/>
        </w:rPr>
      </w:pPr>
      <w:r>
        <w:rPr>
          <w:rFonts w:hint="eastAsia" w:ascii="宋体" w:hAnsi="宋体" w:eastAsia="宋体" w:cs="宋体"/>
          <w:sz w:val="24"/>
          <w:szCs w:val="24"/>
        </w:rPr>
        <w:t>10）现场支持时出现暂时无法解决的故障或其他新的故障时，应告知用户并及时上报负责人，寻找其他解决途径。</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故障解决后，现场支持工程师要详细记录问题的发生时间、地点、提出人和问题描述，并形成书面文档，必要时应向用户介绍故障出现的原因及预防方法和解决技巧。</w:t>
      </w:r>
    </w:p>
    <w:p>
      <w:pPr>
        <w:spacing w:line="360" w:lineRule="auto"/>
        <w:rPr>
          <w:rFonts w:hint="eastAsia" w:ascii="宋体" w:hAnsi="宋体" w:eastAsia="宋体" w:cs="宋体"/>
          <w:sz w:val="24"/>
          <w:szCs w:val="24"/>
        </w:rPr>
      </w:pPr>
      <w:r>
        <w:rPr>
          <w:rFonts w:hint="eastAsia" w:ascii="宋体" w:hAnsi="宋体" w:eastAsia="宋体" w:cs="宋体"/>
          <w:sz w:val="24"/>
          <w:szCs w:val="24"/>
        </w:rPr>
        <w:t>（3）现场工作服务</w:t>
      </w:r>
    </w:p>
    <w:p>
      <w:pPr>
        <w:spacing w:line="360" w:lineRule="auto"/>
        <w:rPr>
          <w:rFonts w:hint="eastAsia" w:ascii="宋体" w:hAnsi="宋体" w:eastAsia="宋体" w:cs="宋体"/>
          <w:sz w:val="24"/>
          <w:szCs w:val="24"/>
        </w:rPr>
      </w:pPr>
      <w:r>
        <w:rPr>
          <w:rFonts w:hint="eastAsia" w:ascii="宋体" w:hAnsi="宋体" w:eastAsia="宋体" w:cs="宋体"/>
          <w:sz w:val="24"/>
          <w:szCs w:val="24"/>
        </w:rPr>
        <w:t>由于互联网医院的重要性及专业性，需要技术人员实时实地的保障，要求中标方提供技术工程师现场服务，要求如下：</w:t>
      </w:r>
    </w:p>
    <w:p>
      <w:pPr>
        <w:spacing w:line="360" w:lineRule="auto"/>
        <w:rPr>
          <w:rFonts w:hint="eastAsia" w:ascii="宋体" w:hAnsi="宋体" w:eastAsia="宋体" w:cs="宋体"/>
          <w:sz w:val="24"/>
          <w:szCs w:val="24"/>
        </w:rPr>
      </w:pPr>
      <w:r>
        <w:rPr>
          <w:rFonts w:hint="eastAsia" w:ascii="宋体" w:hAnsi="宋体" w:eastAsia="宋体" w:cs="宋体"/>
          <w:sz w:val="24"/>
          <w:szCs w:val="24"/>
        </w:rPr>
        <w:t>现场工程师的工作由甲方指定（限于合同包括的服务工作），如因特殊原因（如病假、事假、公休）等，要求中标方指派不低于原工程师资质的技术人员代替。</w:t>
      </w:r>
    </w:p>
    <w:p>
      <w:pPr>
        <w:spacing w:line="360" w:lineRule="auto"/>
        <w:rPr>
          <w:rFonts w:hint="eastAsia" w:ascii="宋体" w:hAnsi="宋体" w:eastAsia="宋体" w:cs="宋体"/>
          <w:sz w:val="24"/>
          <w:szCs w:val="24"/>
        </w:rPr>
      </w:pPr>
      <w:r>
        <w:rPr>
          <w:rFonts w:hint="eastAsia" w:ascii="宋体" w:hAnsi="宋体" w:eastAsia="宋体" w:cs="宋体"/>
          <w:sz w:val="24"/>
          <w:szCs w:val="24"/>
        </w:rPr>
        <w:t>若中标方的授权现场工程师有变更，应及时以书面形式通知我院。</w:t>
      </w:r>
    </w:p>
    <w:p>
      <w:pPr>
        <w:spacing w:line="360" w:lineRule="auto"/>
        <w:rPr>
          <w:rFonts w:hint="eastAsia" w:ascii="宋体" w:hAnsi="宋体" w:eastAsia="宋体" w:cs="宋体"/>
          <w:sz w:val="24"/>
          <w:szCs w:val="24"/>
        </w:rPr>
      </w:pPr>
      <w:r>
        <w:rPr>
          <w:rFonts w:hint="eastAsia" w:ascii="宋体" w:hAnsi="宋体" w:eastAsia="宋体" w:cs="宋体"/>
          <w:sz w:val="24"/>
          <w:szCs w:val="24"/>
        </w:rPr>
        <w:t>中标方需每周（除法定节假日意外）要安排至少</w:t>
      </w:r>
      <w:r>
        <w:rPr>
          <w:rFonts w:hint="eastAsia" w:ascii="宋体" w:hAnsi="宋体" w:eastAsia="宋体" w:cs="宋体"/>
          <w:sz w:val="24"/>
          <w:szCs w:val="24"/>
          <w:lang w:val="en-US" w:eastAsia="zh-CN"/>
        </w:rPr>
        <w:t>1</w:t>
      </w:r>
      <w:r>
        <w:rPr>
          <w:rFonts w:hint="eastAsia" w:ascii="宋体" w:hAnsi="宋体" w:eastAsia="宋体" w:cs="宋体"/>
          <w:sz w:val="24"/>
          <w:szCs w:val="24"/>
        </w:rPr>
        <w:t>天在现场处理技术问题以及需求。</w:t>
      </w:r>
    </w:p>
    <w:p>
      <w:pPr>
        <w:spacing w:line="360" w:lineRule="auto"/>
        <w:rPr>
          <w:rFonts w:hint="eastAsia" w:ascii="宋体" w:hAnsi="宋体" w:eastAsia="宋体" w:cs="宋体"/>
          <w:sz w:val="24"/>
          <w:szCs w:val="24"/>
        </w:rPr>
      </w:pPr>
      <w:r>
        <w:rPr>
          <w:rFonts w:hint="eastAsia" w:ascii="宋体" w:hAnsi="宋体" w:eastAsia="宋体" w:cs="宋体"/>
          <w:sz w:val="24"/>
          <w:szCs w:val="24"/>
        </w:rPr>
        <w:t>中标方需要每半年对运维内容进行总结。</w:t>
      </w:r>
    </w:p>
    <w:p>
      <w:pPr>
        <w:spacing w:line="360" w:lineRule="auto"/>
        <w:rPr>
          <w:rFonts w:hint="eastAsia" w:ascii="宋体" w:hAnsi="宋体" w:eastAsia="宋体" w:cs="宋体"/>
          <w:sz w:val="24"/>
          <w:szCs w:val="24"/>
        </w:rPr>
      </w:pPr>
      <w:bookmarkStart w:id="15" w:name="_Toc460394428"/>
      <w:bookmarkStart w:id="16" w:name="_Toc180554337"/>
      <w:bookmarkStart w:id="17" w:name="_Toc231627122"/>
      <w:r>
        <w:rPr>
          <w:rFonts w:hint="eastAsia" w:ascii="宋体" w:hAnsi="宋体" w:eastAsia="宋体" w:cs="宋体"/>
          <w:sz w:val="24"/>
          <w:szCs w:val="24"/>
        </w:rPr>
        <w:t>（4）非现场服务</w:t>
      </w:r>
      <w:bookmarkEnd w:id="15"/>
      <w:bookmarkEnd w:id="16"/>
      <w:bookmarkEnd w:id="17"/>
      <w:r>
        <w:rPr>
          <w:rFonts w:hint="eastAsia" w:ascii="宋体" w:hAnsi="宋体" w:eastAsia="宋体" w:cs="宋体"/>
          <w:sz w:val="24"/>
          <w:szCs w:val="24"/>
        </w:rPr>
        <w:t>要求</w:t>
      </w:r>
    </w:p>
    <w:p>
      <w:pPr>
        <w:spacing w:line="360" w:lineRule="auto"/>
        <w:rPr>
          <w:rFonts w:hint="eastAsia" w:ascii="宋体" w:hAnsi="宋体" w:eastAsia="宋体" w:cs="宋体"/>
          <w:sz w:val="24"/>
          <w:szCs w:val="24"/>
        </w:rPr>
      </w:pPr>
      <w:r>
        <w:rPr>
          <w:rFonts w:hint="eastAsia" w:ascii="宋体" w:hAnsi="宋体" w:eastAsia="宋体" w:cs="宋体"/>
          <w:sz w:val="24"/>
          <w:szCs w:val="24"/>
        </w:rPr>
        <w:t>1）对于指定工程师无法解决的问题，公司应当调派研发人员，协助其解决问题。一般问题，10个工作日内解决，影响业务运行的48小时内解决。重大故障，2小时内解决。</w:t>
      </w:r>
    </w:p>
    <w:p>
      <w:pPr>
        <w:spacing w:line="360" w:lineRule="auto"/>
        <w:rPr>
          <w:rFonts w:hint="eastAsia" w:ascii="宋体" w:hAnsi="宋体" w:eastAsia="宋体" w:cs="宋体"/>
          <w:sz w:val="24"/>
          <w:szCs w:val="24"/>
        </w:rPr>
      </w:pPr>
      <w:r>
        <w:rPr>
          <w:rFonts w:hint="eastAsia" w:ascii="宋体" w:hAnsi="宋体" w:eastAsia="宋体" w:cs="宋体"/>
          <w:sz w:val="24"/>
          <w:szCs w:val="24"/>
        </w:rPr>
        <w:t>2）应急响应，对于应用软件发生重大故障，或其它应用系统发生故障影响到维保系统时，公司必须派出资深技术人员2小时内现场排除或协助。</w:t>
      </w:r>
    </w:p>
    <w:p>
      <w:pPr>
        <w:spacing w:line="360" w:lineRule="auto"/>
        <w:rPr>
          <w:rFonts w:hint="eastAsia" w:ascii="宋体" w:hAnsi="宋体" w:eastAsia="宋体" w:cs="宋体"/>
          <w:sz w:val="24"/>
          <w:szCs w:val="24"/>
        </w:rPr>
      </w:pPr>
      <w:r>
        <w:rPr>
          <w:rFonts w:hint="eastAsia" w:ascii="宋体" w:hAnsi="宋体" w:eastAsia="宋体" w:cs="宋体"/>
          <w:sz w:val="24"/>
          <w:szCs w:val="24"/>
        </w:rPr>
        <w:t>3）重大保障，对于医院重大机房、网络、服务器调整或搬迁，医院提前10个工作日书面通知公司，公司必须派出相关人员协助。</w:t>
      </w:r>
    </w:p>
    <w:p>
      <w:pPr>
        <w:spacing w:line="360" w:lineRule="auto"/>
        <w:rPr>
          <w:rFonts w:hint="eastAsia" w:ascii="宋体" w:hAnsi="宋体" w:eastAsia="宋体" w:cs="宋体"/>
          <w:sz w:val="24"/>
          <w:szCs w:val="24"/>
        </w:rPr>
      </w:pPr>
      <w:r>
        <w:rPr>
          <w:rFonts w:hint="eastAsia" w:ascii="宋体" w:hAnsi="宋体" w:eastAsia="宋体" w:cs="宋体"/>
          <w:sz w:val="24"/>
          <w:szCs w:val="24"/>
        </w:rPr>
        <w:t>（5）服务期限</w:t>
      </w:r>
    </w:p>
    <w:p>
      <w:pPr>
        <w:spacing w:line="360" w:lineRule="auto"/>
        <w:rPr>
          <w:rFonts w:hint="eastAsia" w:ascii="宋体" w:hAnsi="宋体" w:eastAsia="宋体" w:cs="Times New Roman"/>
          <w:b/>
          <w:sz w:val="40"/>
          <w:szCs w:val="40"/>
          <w:highlight w:val="none"/>
        </w:rPr>
      </w:pPr>
      <w:r>
        <w:rPr>
          <w:rFonts w:hint="eastAsia" w:ascii="宋体" w:hAnsi="宋体" w:eastAsia="宋体" w:cs="宋体"/>
          <w:sz w:val="24"/>
          <w:szCs w:val="24"/>
        </w:rPr>
        <w:t>运维</w:t>
      </w:r>
      <w:r>
        <w:rPr>
          <w:rFonts w:hint="eastAsia" w:ascii="宋体" w:hAnsi="宋体" w:eastAsia="宋体" w:cs="宋体"/>
          <w:sz w:val="24"/>
          <w:szCs w:val="24"/>
          <w:lang w:eastAsia="zh-CN"/>
        </w:rPr>
        <w:t>服务</w:t>
      </w:r>
      <w:r>
        <w:rPr>
          <w:rFonts w:hint="eastAsia" w:ascii="宋体" w:hAnsi="宋体" w:eastAsia="宋体" w:cs="宋体"/>
          <w:sz w:val="24"/>
          <w:szCs w:val="24"/>
        </w:rPr>
        <w:t>周期：2026年07月01日 --- 2027年6月30日</w:t>
      </w:r>
      <w:r>
        <w:rPr>
          <w:rFonts w:hint="eastAsia" w:ascii="宋体" w:hAnsi="宋体" w:eastAsia="宋体" w:cs="Times New Roman"/>
          <w:b/>
          <w:sz w:val="40"/>
          <w:szCs w:val="40"/>
          <w:highlight w:val="none"/>
        </w:rPr>
        <w:br w:type="page"/>
      </w:r>
    </w:p>
    <w:p>
      <w:pPr>
        <w:pStyle w:val="15"/>
        <w:rPr>
          <w:rFonts w:hint="eastAsia"/>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Times New Roman" w:hAnsi="Times New Roman" w:eastAsia="宋体" w:cs="Times New Roman"/>
          <w:b/>
          <w:sz w:val="40"/>
          <w:szCs w:val="40"/>
          <w:highlight w:val="none"/>
          <w:lang w:val="en-US" w:eastAsia="zh-CN"/>
        </w:rPr>
        <w:t>互联网医院平台运维服务</w:t>
      </w:r>
    </w:p>
    <w:p>
      <w:pPr>
        <w:jc w:val="center"/>
        <w:rPr>
          <w:rFonts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p>
    <w:p>
      <w:pPr>
        <w:rPr>
          <w:rFonts w:ascii="宋体" w:hAnsi="宋体" w:eastAsia="宋体" w:cs="Times New Roman"/>
          <w:b/>
          <w:sz w:val="24"/>
          <w:szCs w:val="24"/>
          <w:highlight w:val="none"/>
        </w:rPr>
      </w:pP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8" w:name="_Toc457748049"/>
      <w:bookmarkStart w:id="19" w:name="_Toc458971242"/>
      <w:bookmarkStart w:id="20" w:name="_Toc392227906"/>
      <w:r>
        <w:rPr>
          <w:rFonts w:ascii="宋体" w:hAnsi="宋体" w:eastAsia="宋体" w:cs="Times New Roman"/>
          <w:b/>
          <w:sz w:val="24"/>
          <w:szCs w:val="24"/>
          <w:highlight w:val="none"/>
        </w:rPr>
        <w:t>目    录</w:t>
      </w:r>
      <w:bookmarkEnd w:id="18"/>
      <w:bookmarkEnd w:id="19"/>
      <w:bookmarkEnd w:id="20"/>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21" w:name="_Toc7039"/>
      <w:bookmarkStart w:id="22" w:name="_Toc352691655"/>
      <w:bookmarkStart w:id="23" w:name="_Toc369531691"/>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21"/>
      <w:bookmarkEnd w:id="22"/>
      <w:bookmarkEnd w:id="23"/>
      <w:bookmarkStart w:id="24" w:name="_Toc369531692"/>
      <w:bookmarkStart w:id="25" w:name="_Toc352691656"/>
      <w:bookmarkStart w:id="26" w:name="_Toc6931"/>
      <w:r>
        <w:rPr>
          <w:rFonts w:hint="eastAsia" w:ascii="宋体" w:hAnsi="宋体" w:eastAsia="宋体" w:cs="Times New Roman"/>
          <w:b/>
          <w:sz w:val="30"/>
          <w:szCs w:val="30"/>
          <w:highlight w:val="none"/>
        </w:rPr>
        <w:t>谈判响应函</w:t>
      </w:r>
    </w:p>
    <w:bookmarkEnd w:id="24"/>
    <w:bookmarkEnd w:id="25"/>
    <w:bookmarkEnd w:id="26"/>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Times New Roman" w:hAnsi="Times New Roman" w:eastAsia="宋体" w:cs="Times New Roman"/>
          <w:szCs w:val="21"/>
          <w:highlight w:val="none"/>
          <w:u w:val="single"/>
          <w:lang w:val="en-US" w:eastAsia="zh-CN"/>
        </w:rPr>
        <w:t>互联网医院平台运维服务</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7" w:name="_Toc1187"/>
      <w:bookmarkStart w:id="28" w:name="_Toc352691658"/>
      <w:bookmarkStart w:id="29"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7"/>
      <w:bookmarkEnd w:id="28"/>
      <w:bookmarkEnd w:id="29"/>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30" w:name="_Toc369531695"/>
      <w:bookmarkStart w:id="31" w:name="_Toc16568"/>
      <w:bookmarkStart w:id="32" w:name="_Toc352691659"/>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bookmarkStart w:id="33" w:name="_Toc352691660"/>
      <w:bookmarkStart w:id="34" w:name="_Toc369531696"/>
      <w:bookmarkStart w:id="35" w:name="_Toc16824"/>
      <w:r>
        <w:rPr>
          <w:rFonts w:ascii="宋体" w:hAnsi="宋体" w:eastAsia="宋体" w:cs="Times New Roman"/>
          <w:szCs w:val="21"/>
          <w:highlight w:val="none"/>
          <w:u w:val="single"/>
        </w:rPr>
        <w:t xml:space="preserve">           </w:t>
      </w:r>
      <w:bookmarkEnd w:id="33"/>
      <w:bookmarkEnd w:id="34"/>
      <w:bookmarkEnd w:id="35"/>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6" w:name="_Toc17960"/>
      <w:bookmarkStart w:id="37" w:name="_Toc384308375"/>
      <w:bookmarkStart w:id="38" w:name="_Toc247527827"/>
      <w:bookmarkStart w:id="39" w:name="_Toc352691661"/>
      <w:bookmarkStart w:id="40" w:name="_Toc144974856"/>
      <w:bookmarkStart w:id="41" w:name="_Toc361508752"/>
      <w:bookmarkStart w:id="42" w:name="_Toc369531697"/>
      <w:bookmarkStart w:id="43" w:name="_Toc152045787"/>
      <w:bookmarkStart w:id="44" w:name="_Toc300835209"/>
      <w:bookmarkStart w:id="45" w:name="_Toc152042576"/>
      <w:bookmarkStart w:id="46" w:name="_Toc247514246"/>
      <w:r>
        <w:rPr>
          <w:rFonts w:hint="eastAsia" w:ascii="宋体" w:hAnsi="宋体" w:eastAsia="宋体" w:cs="Times New Roman"/>
          <w:b/>
          <w:sz w:val="24"/>
          <w:szCs w:val="24"/>
          <w:highlight w:val="none"/>
        </w:rPr>
        <w:br w:type="page"/>
      </w:r>
      <w:bookmarkStart w:id="47" w:name="_Toc457748054"/>
      <w:bookmarkStart w:id="48" w:name="_Toc392227908"/>
      <w:bookmarkStart w:id="49" w:name="_Toc458971245"/>
      <w:bookmarkStart w:id="50" w:name="_Toc457748053"/>
      <w:r>
        <w:rPr>
          <w:rFonts w:ascii="宋体" w:hAnsi="宋体" w:eastAsia="黑体" w:cs="Times New Roman"/>
          <w:b/>
          <w:sz w:val="30"/>
          <w:szCs w:val="30"/>
          <w:highlight w:val="none"/>
        </w:rPr>
        <w:t>法定代表人（单位负责人）身份证明</w:t>
      </w:r>
      <w:bookmarkEnd w:id="47"/>
      <w:bookmarkEnd w:id="48"/>
      <w:bookmarkEnd w:id="49"/>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51" w:name="OLE_LINK1"/>
      <w:bookmarkStart w:id="52" w:name="OLE_LINK2"/>
      <w:bookmarkStart w:id="53" w:name="_Toc458971246"/>
      <w:r>
        <w:rPr>
          <w:rFonts w:ascii="宋体" w:hAnsi="宋体" w:eastAsia="宋体" w:cs="Times New Roman"/>
          <w:b/>
          <w:sz w:val="30"/>
          <w:szCs w:val="30"/>
          <w:highlight w:val="none"/>
        </w:rPr>
        <w:t>法定代表人（单位负责人）授权委托书</w:t>
      </w:r>
      <w:bookmarkEnd w:id="51"/>
      <w:bookmarkEnd w:id="52"/>
      <w:bookmarkEnd w:id="53"/>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Times New Roman" w:hAnsi="Times New Roman" w:eastAsia="宋体" w:cs="Times New Roman"/>
          <w:szCs w:val="21"/>
          <w:highlight w:val="none"/>
          <w:u w:val="single"/>
        </w:rPr>
        <w:t>不间断电源</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50"/>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szCs w:val="21"/>
                <w:highlight w:val="none"/>
                <w:u w:val="none"/>
                <w:lang w:val="en-US" w:eastAsia="zh-CN"/>
              </w:rPr>
              <w:t>互联网医院平台运维服务</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6"/>
    <w:bookmarkEnd w:id="37"/>
    <w:bookmarkEnd w:id="38"/>
    <w:bookmarkEnd w:id="39"/>
    <w:bookmarkEnd w:id="40"/>
    <w:bookmarkEnd w:id="41"/>
    <w:bookmarkEnd w:id="42"/>
    <w:bookmarkEnd w:id="43"/>
    <w:bookmarkEnd w:id="44"/>
    <w:bookmarkEnd w:id="45"/>
    <w:bookmarkEnd w:id="46"/>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4" w:name="_Toc392227913"/>
      <w:bookmarkStart w:id="55" w:name="_Toc458971250"/>
      <w:bookmarkStart w:id="56" w:name="_Toc457748057"/>
    </w:p>
    <w:bookmarkEnd w:id="54"/>
    <w:bookmarkEnd w:id="55"/>
    <w:bookmarkEnd w:id="56"/>
    <w:p>
      <w:pPr>
        <w:spacing w:line="360" w:lineRule="auto"/>
        <w:jc w:val="center"/>
        <w:outlineLvl w:val="1"/>
        <w:rPr>
          <w:rFonts w:ascii="宋体" w:hAnsi="宋体" w:eastAsia="宋体" w:cs="Times New Roman"/>
          <w:b/>
          <w:sz w:val="30"/>
          <w:szCs w:val="30"/>
          <w:highlight w:val="none"/>
        </w:rPr>
      </w:pPr>
      <w:bookmarkStart w:id="57" w:name="_Toc392227915"/>
      <w:bookmarkStart w:id="58" w:name="_Toc458971251"/>
      <w:bookmarkStart w:id="59" w:name="_Toc457748058"/>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7"/>
      <w:bookmarkEnd w:id="58"/>
      <w:bookmarkEnd w:id="59"/>
    </w:p>
    <w:p>
      <w:pPr>
        <w:spacing w:line="360" w:lineRule="auto"/>
        <w:ind w:firstLine="118" w:firstLineChars="49"/>
        <w:outlineLvl w:val="2"/>
        <w:rPr>
          <w:rFonts w:ascii="宋体" w:hAnsi="宋体" w:eastAsia="宋体" w:cs="Times New Roman"/>
          <w:b/>
          <w:sz w:val="24"/>
          <w:szCs w:val="24"/>
          <w:highlight w:val="none"/>
        </w:rPr>
      </w:pPr>
      <w:bookmarkStart w:id="60" w:name="_Toc392227916"/>
      <w:bookmarkStart w:id="61"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60"/>
      <w:bookmarkEnd w:id="61"/>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62" w:name="_Toc392227919"/>
      <w:bookmarkStart w:id="63"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62"/>
      <w:r>
        <w:rPr>
          <w:rFonts w:hint="eastAsia" w:ascii="宋体" w:hAnsi="宋体" w:eastAsia="宋体" w:cs="Times New Roman"/>
          <w:b/>
          <w:szCs w:val="21"/>
          <w:highlight w:val="none"/>
        </w:rPr>
        <w:t>近年信誉情况</w:t>
      </w:r>
      <w:bookmarkEnd w:id="63"/>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1</w:t>
      </w:r>
      <w:r>
        <w:rPr>
          <w:rFonts w:hint="eastAsia" w:ascii="宋体" w:hAnsi="宋体" w:eastAsia="宋体"/>
          <w:highlight w:val="none"/>
        </w:rPr>
        <w:t>年6月1日起至今，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6"/>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1</w:t>
      </w:r>
      <w:r>
        <w:rPr>
          <w:rFonts w:hint="eastAsia" w:ascii="宋体" w:hAnsi="宋体" w:eastAsia="宋体"/>
          <w:highlight w:val="none"/>
        </w:rPr>
        <w:t>年6月1日起至今，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BD078"/>
    <w:multiLevelType w:val="singleLevel"/>
    <w:tmpl w:val="B0DBD078"/>
    <w:lvl w:ilvl="0" w:tentative="0">
      <w:start w:val="3"/>
      <w:numFmt w:val="chineseCounting"/>
      <w:suff w:val="space"/>
      <w:lvlText w:val="第%1章"/>
      <w:lvlJc w:val="left"/>
      <w:rPr>
        <w:rFonts w:hint="eastAsia"/>
      </w:rPr>
    </w:lvl>
  </w:abstractNum>
  <w:abstractNum w:abstractNumId="1">
    <w:nsid w:val="00000001"/>
    <w:multiLevelType w:val="singleLevel"/>
    <w:tmpl w:val="00000001"/>
    <w:lvl w:ilvl="0" w:tentative="0">
      <w:start w:val="4"/>
      <w:numFmt w:val="chineseCounting"/>
      <w:suff w:val="space"/>
      <w:lvlText w:val="第%1章"/>
      <w:lvlJc w:val="left"/>
      <w:rPr>
        <w:rFonts w:hint="eastAsia"/>
      </w:rPr>
    </w:lvl>
  </w:abstractNum>
  <w:abstractNum w:abstractNumId="2">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3254B5C"/>
    <w:multiLevelType w:val="multilevel"/>
    <w:tmpl w:val="03254B5C"/>
    <w:lvl w:ilvl="0" w:tentative="0">
      <w:start w:val="1"/>
      <w:numFmt w:val="decimal"/>
      <w:lvlText w:val="（%1）"/>
      <w:lvlJc w:val="left"/>
      <w:pPr>
        <w:ind w:left="720"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4">
    <w:nsid w:val="04565C29"/>
    <w:multiLevelType w:val="singleLevel"/>
    <w:tmpl w:val="04565C29"/>
    <w:lvl w:ilvl="0" w:tentative="0">
      <w:start w:val="1"/>
      <w:numFmt w:val="decimal"/>
      <w:lvlText w:val="%1."/>
      <w:lvlJc w:val="left"/>
      <w:pPr>
        <w:ind w:left="425" w:hanging="425"/>
      </w:pPr>
      <w:rPr>
        <w:rFonts w:hint="default"/>
      </w:rPr>
    </w:lvl>
  </w:abstractNum>
  <w:abstractNum w:abstractNumId="5">
    <w:nsid w:val="30B8D821"/>
    <w:multiLevelType w:val="singleLevel"/>
    <w:tmpl w:val="30B8D821"/>
    <w:lvl w:ilvl="0" w:tentative="0">
      <w:start w:val="5"/>
      <w:numFmt w:val="decimal"/>
      <w:lvlText w:val="%1."/>
      <w:lvlJc w:val="left"/>
      <w:pPr>
        <w:tabs>
          <w:tab w:val="left" w:pos="312"/>
        </w:tabs>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16E6EE7"/>
    <w:rsid w:val="14E8004D"/>
    <w:rsid w:val="1D9A3ED2"/>
    <w:rsid w:val="1E232D73"/>
    <w:rsid w:val="206155F1"/>
    <w:rsid w:val="24095163"/>
    <w:rsid w:val="27AB4C5A"/>
    <w:rsid w:val="2C3F59DE"/>
    <w:rsid w:val="56C44DE2"/>
    <w:rsid w:val="5B4359C7"/>
    <w:rsid w:val="63C17F9D"/>
    <w:rsid w:val="6F0A1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 w:type="character" w:customStyle="1" w:styleId="212">
    <w:name w:val="font61"/>
    <w:basedOn w:val="33"/>
    <w:qFormat/>
    <w:uiPriority w:val="0"/>
    <w:rPr>
      <w:rFonts w:hint="default" w:ascii="Times New Roman" w:hAnsi="Times New Roman" w:cs="Times New Roman"/>
      <w:color w:val="000000"/>
      <w:sz w:val="24"/>
      <w:szCs w:val="24"/>
      <w:u w:val="none"/>
    </w:rPr>
  </w:style>
  <w:style w:type="paragraph" w:customStyle="1" w:styleId="213">
    <w:name w:val="可研正文"/>
    <w:basedOn w:val="1"/>
    <w:qFormat/>
    <w:uiPriority w:val="0"/>
    <w:pPr>
      <w:spacing w:line="360" w:lineRule="auto"/>
      <w:ind w:firstLine="560" w:firstLineChars="200"/>
    </w:pPr>
    <w:rPr>
      <w:rFonts w:ascii="仿宋_GB2312" w:hAnsi="宋体" w:eastAsia="仿宋_GB2312"/>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6C793-95D7-4B30-B7B1-CD83F4F29018}">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6803</Words>
  <Characters>7298</Characters>
  <Lines>53</Lines>
  <Paragraphs>15</Paragraphs>
  <TotalTime>12</TotalTime>
  <ScaleCrop>false</ScaleCrop>
  <LinksUpToDate>false</LinksUpToDate>
  <CharactersWithSpaces>8412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2026-04-08T06:39:06Z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