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bCs/>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6</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03</w:t>
      </w:r>
      <w:r>
        <w:rPr>
          <w:rFonts w:hint="eastAsia" w:ascii="Times New Roman" w:hAnsi="Times New Roman" w:eastAsia="宋体"/>
          <w:b/>
          <w:sz w:val="36"/>
          <w:szCs w:val="36"/>
          <w:highlight w:val="none"/>
        </w:rPr>
        <w:t>月</w:t>
      </w: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2" w:name="_Toc11326092"/>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eastAsia="zh-CN"/>
        </w:rPr>
        <w:t>2026年信息安全风险评估服务</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24</w:t>
      </w:r>
      <w:bookmarkStart w:id="61" w:name="_GoBack"/>
      <w:bookmarkEnd w:id="61"/>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03</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1"/>
      <w:bookmarkStart w:id="8" w:name="OLE_LINK16"/>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516880880"/>
      <w:bookmarkStart w:id="10" w:name="_Toc11326093"/>
      <w:bookmarkStart w:id="11" w:name="_Toc9066359"/>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eastAsia="zh-CN"/>
              </w:rPr>
              <w:t>2026年信息安全风险评估服务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技术</w:t>
            </w:r>
            <w:r>
              <w:rPr>
                <w:rFonts w:hint="eastAsia" w:ascii="宋体" w:hAnsi="宋体" w:eastAsia="宋体" w:cs="Times New Roman"/>
                <w:sz w:val="24"/>
                <w:szCs w:val="20"/>
                <w:highlight w:val="none"/>
              </w:rPr>
              <w:t>响应/偏离表</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填写技术规格响应/偏离表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pStyle w:val="2"/>
              <w:numPr>
                <w:ilvl w:val="0"/>
                <w:numId w:val="2"/>
              </w:numPr>
              <w:rPr>
                <w:rFonts w:hint="eastAsia" w:ascii="宋体" w:hAnsi="宋体" w:cs="Times New Roman"/>
                <w:sz w:val="24"/>
                <w:szCs w:val="20"/>
                <w:highlight w:val="none"/>
                <w:lang w:val="en-US" w:eastAsia="zh-CN"/>
              </w:rPr>
            </w:pPr>
            <w:r>
              <w:rPr>
                <w:rFonts w:hint="eastAsia" w:ascii="宋体" w:hAnsi="宋体" w:cs="Times New Roman"/>
                <w:sz w:val="24"/>
                <w:szCs w:val="20"/>
                <w:highlight w:val="none"/>
                <w:lang w:val="en-US" w:eastAsia="zh-CN"/>
              </w:rPr>
              <w:t>商务条款响应/偏离表</w:t>
            </w:r>
          </w:p>
          <w:p>
            <w:pPr>
              <w:pStyle w:val="2"/>
              <w:numPr>
                <w:ilvl w:val="0"/>
                <w:numId w:val="0"/>
              </w:numPr>
              <w:rPr>
                <w:rFonts w:hint="default" w:ascii="宋体" w:hAnsi="宋体" w:cs="Times New Roman"/>
                <w:sz w:val="24"/>
                <w:szCs w:val="20"/>
                <w:highlight w:val="none"/>
                <w:lang w:val="en-US" w:eastAsia="zh-CN"/>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填写商务条款响应/偏离表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3"/>
              </w:numPr>
              <w:kinsoku w:val="0"/>
              <w:autoSpaceDE w:val="0"/>
              <w:autoSpaceDN w:val="0"/>
              <w:spacing w:line="360" w:lineRule="auto"/>
              <w:ind w:left="720" w:leftChars="0"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8.1</w:t>
            </w:r>
          </w:p>
        </w:tc>
        <w:tc>
          <w:tcPr>
            <w:tcW w:w="4469" w:type="pct"/>
            <w:vAlign w:val="center"/>
          </w:tcPr>
          <w:p>
            <w:pPr>
              <w:kinsoku w:val="0"/>
              <w:autoSpaceDE w:val="0"/>
              <w:autoSpaceDN w:val="0"/>
              <w:spacing w:line="360" w:lineRule="auto"/>
              <w:ind w:right="57"/>
              <w:textAlignment w:val="bottom"/>
              <w:rPr>
                <w:rFonts w:hint="eastAsia" w:asciiTheme="minorEastAsia" w:hAnsiTheme="minorEastAsia" w:eastAsiaTheme="minorEastAsia"/>
                <w:sz w:val="24"/>
                <w:szCs w:val="24"/>
                <w:highlight w:val="none"/>
              </w:rPr>
            </w:pPr>
            <w:r>
              <w:rPr>
                <w:rFonts w:hint="eastAsia" w:ascii="宋体" w:hAnsi="宋体" w:eastAsia="宋体" w:cs="Times New Roman"/>
                <w:sz w:val="24"/>
                <w:szCs w:val="20"/>
                <w:lang w:val="en-US" w:eastAsia="zh-CN"/>
              </w:rPr>
              <w:t>在采购过程中，投标人如发现采购人有违法违规行为，可向医院纪检部门举报。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8.2</w:t>
            </w:r>
          </w:p>
        </w:tc>
        <w:tc>
          <w:tcPr>
            <w:tcW w:w="4469" w:type="pct"/>
            <w:vAlign w:val="center"/>
          </w:tcPr>
          <w:p>
            <w:pPr>
              <w:kinsoku w:val="0"/>
              <w:autoSpaceDE w:val="0"/>
              <w:autoSpaceDN w:val="0"/>
              <w:spacing w:line="360" w:lineRule="auto"/>
              <w:ind w:right="57"/>
              <w:textAlignment w:val="bottom"/>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采购人如发现投标人之间存在关联关系，不论项目进行中或招标已经完成，采购人有权终止此项目招标或取消招标结果。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Times New Roman" w:hAnsi="Times New Roman" w:eastAsia="宋体" w:cs="Times New Roman"/>
                <w:sz w:val="24"/>
                <w:szCs w:val="20"/>
                <w:highlight w:val="none"/>
                <w:lang w:val="en-US" w:eastAsia="zh-CN"/>
              </w:rPr>
              <w:t>9</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10</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ascii="宋体" w:hAnsi="宋体"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4</w:t>
            </w: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rPr>
          <w:rFonts w:ascii="Times New Roman" w:hAnsi="Times New Roman" w:eastAsia="宋体" w:cs="Times New Roman"/>
          <w:b/>
          <w:kern w:val="44"/>
          <w:sz w:val="36"/>
          <w:szCs w:val="20"/>
          <w:highlight w:val="none"/>
        </w:rPr>
      </w:pPr>
      <w:bookmarkStart w:id="12" w:name="_Toc9066360"/>
      <w:bookmarkStart w:id="13" w:name="_Toc11326094"/>
      <w:r>
        <w:rPr>
          <w:rFonts w:ascii="Times New Roman" w:hAnsi="Times New Roman" w:eastAsia="宋体" w:cs="Times New Roman"/>
          <w:b/>
          <w:kern w:val="44"/>
          <w:sz w:val="36"/>
          <w:szCs w:val="20"/>
          <w:highlight w:val="none"/>
        </w:rPr>
        <w:br w:type="page"/>
      </w: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tbl>
      <w:tblPr>
        <w:tblStyle w:val="31"/>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68"/>
        <w:gridCol w:w="4718"/>
        <w:gridCol w:w="170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jc w:val="center"/>
              <w:rPr>
                <w:rFonts w:hint="eastAsia" w:ascii="宋体" w:hAnsi="宋体" w:cs="宋体"/>
                <w:b/>
                <w:szCs w:val="21"/>
                <w:highlight w:val="none"/>
              </w:rPr>
            </w:pPr>
            <w:bookmarkStart w:id="14" w:name="_Toc11326096"/>
            <w:r>
              <w:rPr>
                <w:rFonts w:hint="eastAsia" w:ascii="宋体" w:hAnsi="宋体" w:cs="宋体"/>
                <w:b/>
                <w:szCs w:val="21"/>
                <w:highlight w:val="none"/>
              </w:rPr>
              <w:t>序号</w:t>
            </w:r>
          </w:p>
        </w:tc>
        <w:tc>
          <w:tcPr>
            <w:tcW w:w="2168"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采购</w:t>
            </w:r>
            <w:r>
              <w:rPr>
                <w:rFonts w:hint="eastAsia" w:ascii="宋体" w:hAnsi="宋体" w:cs="宋体"/>
                <w:b/>
                <w:szCs w:val="21"/>
                <w:highlight w:val="none"/>
              </w:rPr>
              <w:t>要求</w:t>
            </w:r>
          </w:p>
        </w:tc>
        <w:tc>
          <w:tcPr>
            <w:tcW w:w="4718" w:type="dxa"/>
            <w:noWrap w:val="0"/>
            <w:vAlign w:val="center"/>
          </w:tcPr>
          <w:p>
            <w:pPr>
              <w:jc w:val="center"/>
              <w:rPr>
                <w:rFonts w:hint="default" w:ascii="宋体" w:hAnsi="宋体" w:cs="宋体"/>
                <w:b/>
                <w:szCs w:val="21"/>
                <w:highlight w:val="none"/>
                <w:lang w:val="en-US" w:eastAsia="zh-CN"/>
              </w:rPr>
            </w:pPr>
            <w:r>
              <w:rPr>
                <w:rFonts w:hint="eastAsia" w:ascii="宋体" w:hAnsi="宋体" w:cs="宋体"/>
                <w:b/>
                <w:szCs w:val="21"/>
                <w:highlight w:val="none"/>
                <w:lang w:val="en-US" w:eastAsia="zh-CN"/>
              </w:rPr>
              <w:t>指标要求</w:t>
            </w:r>
          </w:p>
        </w:tc>
        <w:tc>
          <w:tcPr>
            <w:tcW w:w="1700"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供应商</w:t>
            </w:r>
            <w:r>
              <w:rPr>
                <w:rFonts w:hint="eastAsia" w:ascii="宋体" w:hAnsi="宋体" w:cs="宋体"/>
                <w:b/>
                <w:szCs w:val="21"/>
                <w:highlight w:val="none"/>
              </w:rPr>
              <w:t>响应</w:t>
            </w:r>
          </w:p>
        </w:tc>
        <w:tc>
          <w:tcPr>
            <w:tcW w:w="1164"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一</w:t>
            </w:r>
          </w:p>
        </w:tc>
        <w:tc>
          <w:tcPr>
            <w:tcW w:w="2168" w:type="dxa"/>
            <w:noWrap w:val="0"/>
            <w:vAlign w:val="center"/>
          </w:tcPr>
          <w:p>
            <w:pPr>
              <w:widowControl/>
              <w:textAlignment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总体要求</w:t>
            </w:r>
          </w:p>
        </w:tc>
        <w:tc>
          <w:tcPr>
            <w:tcW w:w="7582" w:type="dxa"/>
            <w:gridSpan w:val="3"/>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2168" w:type="dxa"/>
            <w:noWrap w:val="0"/>
            <w:vAlign w:val="center"/>
          </w:tcPr>
          <w:p>
            <w:pPr>
              <w:widowControl/>
              <w:spacing w:line="240" w:lineRule="auto"/>
              <w:textAlignment w:val="center"/>
              <w:rPr>
                <w:rStyle w:val="211"/>
                <w:rFonts w:hint="eastAsia" w:ascii="宋体" w:hAnsi="宋体" w:eastAsia="宋体" w:cs="宋体"/>
                <w:sz w:val="21"/>
                <w:szCs w:val="21"/>
                <w:highlight w:val="none"/>
                <w:lang w:val="en-US" w:eastAsia="zh-CN" w:bidi="ar"/>
              </w:rPr>
            </w:pPr>
            <w:r>
              <w:rPr>
                <w:rStyle w:val="211"/>
                <w:rFonts w:hint="eastAsia" w:ascii="宋体" w:hAnsi="宋体" w:eastAsia="宋体" w:cs="宋体"/>
                <w:sz w:val="21"/>
                <w:szCs w:val="21"/>
                <w:highlight w:val="none"/>
                <w:lang w:bidi="ar"/>
              </w:rPr>
              <w:t>设备名称：</w:t>
            </w:r>
            <w:r>
              <w:rPr>
                <w:rStyle w:val="211"/>
                <w:rFonts w:hint="eastAsia" w:ascii="宋体" w:hAnsi="宋体" w:eastAsia="宋体" w:cs="宋体"/>
                <w:sz w:val="21"/>
                <w:szCs w:val="21"/>
                <w:highlight w:val="none"/>
                <w:lang w:val="en-US" w:eastAsia="zh-CN" w:bidi="ar"/>
              </w:rPr>
              <w:t>信息安全风险评估服务</w:t>
            </w:r>
          </w:p>
        </w:tc>
        <w:tc>
          <w:tcPr>
            <w:tcW w:w="4718" w:type="dxa"/>
            <w:noWrap w:val="0"/>
            <w:vAlign w:val="center"/>
          </w:tcPr>
          <w:p>
            <w:pPr>
              <w:spacing w:line="240" w:lineRule="auto"/>
              <w:rPr>
                <w:rFonts w:hint="eastAsia" w:ascii="宋体" w:hAnsi="宋体" w:eastAsia="宋体" w:cs="宋体"/>
                <w:b/>
                <w:sz w:val="21"/>
                <w:szCs w:val="21"/>
                <w:highlight w:val="none"/>
              </w:rPr>
            </w:pPr>
            <w:r>
              <w:rPr>
                <w:rFonts w:hint="eastAsia" w:ascii="宋体" w:hAnsi="宋体" w:eastAsia="宋体" w:cs="等线"/>
                <w:color w:val="000000" w:themeColor="text1"/>
                <w:kern w:val="0"/>
                <w:sz w:val="21"/>
                <w:szCs w:val="21"/>
                <w:lang w:bidi="ar"/>
              </w:rPr>
              <w:t>每年开展一次风险评估，包含防病毒、两高一弱、业务连续性等内容，出具风险评估报告，报告中需包含上述三方面内容并提供安全整改建议方案</w:t>
            </w:r>
          </w:p>
        </w:tc>
        <w:tc>
          <w:tcPr>
            <w:tcW w:w="1700"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w:t>
            </w:r>
          </w:p>
        </w:tc>
        <w:tc>
          <w:tcPr>
            <w:tcW w:w="2168" w:type="dxa"/>
            <w:noWrap w:val="0"/>
            <w:vAlign w:val="center"/>
          </w:tcPr>
          <w:p>
            <w:pPr>
              <w:widowControl/>
              <w:spacing w:line="240" w:lineRule="auto"/>
              <w:textAlignment w:val="center"/>
              <w:rPr>
                <w:rFonts w:hint="eastAsia" w:ascii="宋体" w:hAnsi="宋体" w:eastAsia="宋体" w:cs="宋体"/>
                <w:b w:val="0"/>
                <w:bCs w:val="0"/>
                <w:sz w:val="21"/>
                <w:szCs w:val="21"/>
                <w:highlight w:val="none"/>
              </w:rPr>
            </w:pPr>
            <w:r>
              <w:rPr>
                <w:rFonts w:hint="eastAsia" w:ascii="宋体" w:hAnsi="宋体" w:eastAsia="宋体" w:cs="宋体"/>
                <w:b/>
                <w:bCs/>
                <w:color w:val="000000" w:themeColor="text1"/>
                <w:kern w:val="0"/>
                <w:sz w:val="21"/>
                <w:szCs w:val="21"/>
                <w:lang w:bidi="ar"/>
              </w:rPr>
              <w:t>指标要求</w:t>
            </w:r>
          </w:p>
        </w:tc>
        <w:tc>
          <w:tcPr>
            <w:tcW w:w="7582" w:type="dxa"/>
            <w:gridSpan w:val="3"/>
            <w:noWrap w:val="0"/>
            <w:vAlign w:val="center"/>
          </w:tcPr>
          <w:p>
            <w:pPr>
              <w:spacing w:line="24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spacing w:line="240" w:lineRule="auto"/>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1</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服务期限及频率</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w:t>
            </w:r>
            <w:r>
              <w:rPr>
                <w:rFonts w:hint="eastAsia" w:ascii="宋体" w:hAnsi="宋体" w:eastAsia="宋体" w:cs="宋体"/>
                <w:color w:val="000000" w:themeColor="text1"/>
                <w:kern w:val="0"/>
                <w:sz w:val="21"/>
                <w:szCs w:val="21"/>
                <w:lang w:eastAsia="zh-CN" w:bidi="ar"/>
              </w:rPr>
              <w:t>期间当年</w:t>
            </w:r>
            <w:r>
              <w:rPr>
                <w:rFonts w:hint="eastAsia" w:ascii="宋体" w:hAnsi="宋体" w:eastAsia="宋体" w:cs="宋体"/>
                <w:color w:val="000000" w:themeColor="text1"/>
                <w:kern w:val="0"/>
                <w:sz w:val="21"/>
                <w:szCs w:val="21"/>
                <w:lang w:bidi="ar"/>
              </w:rPr>
              <w:t>提供1次安全风险评估服务。</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spacing w:line="240" w:lineRule="auto"/>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2</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服务范围</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重要业务系统</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3" w:type="dxa"/>
            <w:noWrap w:val="0"/>
            <w:vAlign w:val="center"/>
          </w:tcPr>
          <w:p>
            <w:pPr>
              <w:spacing w:line="240" w:lineRule="auto"/>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3</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服务内容</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开展一次风险评估，包含防病毒、两高一弱、业务连续性等内容，出具风险评估报告，报告中需包含上述三方面内容</w:t>
            </w:r>
            <w:r>
              <w:rPr>
                <w:rFonts w:hint="eastAsia" w:ascii="宋体" w:hAnsi="宋体" w:eastAsia="宋体" w:cs="等线"/>
                <w:color w:val="000000" w:themeColor="text1"/>
                <w:kern w:val="0"/>
                <w:sz w:val="21"/>
                <w:szCs w:val="21"/>
                <w:lang w:bidi="ar"/>
              </w:rPr>
              <w:t>并提供整改建议方案</w:t>
            </w:r>
            <w:r>
              <w:rPr>
                <w:rFonts w:hint="eastAsia" w:ascii="宋体" w:hAnsi="宋体" w:eastAsia="宋体" w:cs="宋体"/>
                <w:color w:val="000000" w:themeColor="text1"/>
                <w:sz w:val="21"/>
                <w:szCs w:val="21"/>
              </w:rPr>
              <w:t>。</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240" w:lineRule="auto"/>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4</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服务要求</w:t>
            </w:r>
          </w:p>
        </w:tc>
        <w:tc>
          <w:tcPr>
            <w:tcW w:w="4718" w:type="dxa"/>
            <w:noWrap w:val="0"/>
            <w:vAlign w:val="center"/>
          </w:tcPr>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依据风险评估的规范要求</w:t>
            </w:r>
            <w:r>
              <w:rPr>
                <w:rFonts w:ascii="宋体" w:hAnsi="宋体" w:eastAsia="宋体"/>
                <w:color w:val="000000" w:themeColor="text1"/>
                <w:sz w:val="21"/>
                <w:szCs w:val="21"/>
              </w:rPr>
              <w:t>,应完成以下工作内容：</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一、风险识别</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1、系统资产识别</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包括医院信息系统、数据资源和通信网络，业务承载类别和关联程度等。依据资产的保密性、完整性和可用性进行分析。</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2、威胁识别</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识别威胁的包括威胁的来源、主体、种类、动机、时机和频率，并对威胁进行综合计算给出划分等级。</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3、已有安全措施识别</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识别预防性安全措施和保护性安全措施，对已采取的安全措施的有效性进行确认，评估其有效性。</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4、脆弱性识别</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以资产为核心，针对每一项需要保护的资产，识别可能被威胁利用的脆弱性，并对脆弱性的严重程度进行评估；从物理、网络、系统、应用等层次进行识别与资产、威胁进行对应给出脆弱性的难易程度、影响程度进行分析。</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二、风险分析与评价</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1、威胁与脆弱性分析</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结合技术评估手段，识别我院信息系统面临的潜在威胁和存在的脆弱性。</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分析威胁的来源、影响方式和影响程度，以及脆弱性的利用方式和潜在后果。</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2、风险评价</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结合资产、威胁和脆弱性的分析结果，对我院信息系统进行风险评估。</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评估风险的可能性、影响程度和优先级，为制定风险处置策略提供依据。</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3、安全措施评估</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评估我院现有的信息安全措施，包括物理安全、网络安全、系统安全、数据安全等方面。</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分析现有措施的有效性，提出改进和完善建议。</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4、风险处置建议</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根据风险评估结果，提出针对性的风险处置建议。</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建议包括加强安全策略、更新系统补丁、改进网络配置、加强员工培训等措施。</w:t>
            </w:r>
          </w:p>
          <w:p>
            <w:pPr>
              <w:spacing w:before="156" w:beforeLines="50" w:after="156" w:afterLines="50" w:line="240" w:lineRule="auto"/>
              <w:rPr>
                <w:rFonts w:ascii="宋体" w:hAnsi="宋体" w:eastAsia="宋体"/>
                <w:color w:val="000000" w:themeColor="text1"/>
                <w:sz w:val="21"/>
                <w:szCs w:val="21"/>
              </w:rPr>
            </w:pPr>
            <w:r>
              <w:rPr>
                <w:rFonts w:ascii="宋体" w:hAnsi="宋体" w:eastAsia="宋体"/>
                <w:color w:val="000000" w:themeColor="text1"/>
                <w:sz w:val="21"/>
                <w:szCs w:val="21"/>
              </w:rPr>
              <w:t>5、风险评估报告</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编制详细的信息安全风险评估报告，包括资产清单、威胁分析、脆弱性分析、风险评估结果、风险处置建议以及安全整改建议方案等内容。</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报告将采用易于理解的语言和图表形式，确保我院管理层和技术人员能够充分理解评估结果和建议。</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三、后续支持与服务</w:t>
            </w:r>
          </w:p>
          <w:p>
            <w:pPr>
              <w:spacing w:before="156" w:beforeLines="50" w:after="156" w:afterLines="50" w:line="240" w:lineRule="auto"/>
              <w:rPr>
                <w:rFonts w:ascii="宋体" w:hAnsi="宋体" w:eastAsia="宋体"/>
                <w:color w:val="000000" w:themeColor="text1"/>
                <w:sz w:val="21"/>
                <w:szCs w:val="21"/>
              </w:rPr>
            </w:pPr>
            <w:r>
              <w:rPr>
                <w:rFonts w:hint="eastAsia" w:ascii="宋体" w:hAnsi="宋体" w:eastAsia="宋体"/>
                <w:color w:val="000000" w:themeColor="text1"/>
                <w:sz w:val="21"/>
                <w:szCs w:val="21"/>
              </w:rPr>
              <w:t>提供风险评估后的技术支持和咨询服务，协助我院实施风险处置建议。</w:t>
            </w:r>
          </w:p>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olor w:val="000000" w:themeColor="text1"/>
                <w:sz w:val="21"/>
                <w:szCs w:val="21"/>
              </w:rPr>
              <w:t>根据我院的需求，提供定期的信息安全风险评估和复查服务，确保我院信息系统的安全稳定。</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spacing w:line="240" w:lineRule="auto"/>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5</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Times New Roman"/>
                <w:sz w:val="21"/>
                <w:szCs w:val="21"/>
                <w:highlight w:val="none"/>
                <w:lang w:val="en-US" w:eastAsia="zh-CN"/>
              </w:rPr>
              <w:t>★</w:t>
            </w:r>
            <w:r>
              <w:rPr>
                <w:rFonts w:hint="eastAsia" w:ascii="宋体" w:hAnsi="宋体" w:eastAsia="宋体" w:cs="宋体"/>
                <w:color w:val="000000" w:themeColor="text1"/>
                <w:kern w:val="0"/>
                <w:sz w:val="21"/>
                <w:szCs w:val="21"/>
                <w:lang w:bidi="ar"/>
              </w:rPr>
              <w:t>交付物</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《信息安全风险评估报告》</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bl>
    <w:p>
      <w:pPr>
        <w:rPr>
          <w:rFonts w:hint="eastAsia" w:ascii="宋体" w:hAnsi="宋体" w:eastAsia="宋体" w:cs="Times New Roman"/>
          <w:b/>
          <w:sz w:val="40"/>
          <w:szCs w:val="40"/>
          <w:highlight w:val="none"/>
        </w:rPr>
      </w:pPr>
      <w:r>
        <w:rPr>
          <w:rFonts w:hint="eastAsia" w:ascii="宋体" w:hAnsi="宋体" w:eastAsia="宋体" w:cs="Times New Roman"/>
          <w:b/>
          <w:sz w:val="40"/>
          <w:szCs w:val="40"/>
          <w:highlight w:val="none"/>
        </w:rPr>
        <w:br w:type="page"/>
      </w:r>
    </w:p>
    <w:p>
      <w:pPr>
        <w:pStyle w:val="2"/>
        <w:rPr>
          <w:rFonts w:hint="eastAsia"/>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2026年信息安全风险评估服务</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p>
    <w:p>
      <w:pPr>
        <w:rPr>
          <w:rFonts w:ascii="宋体" w:hAnsi="宋体" w:eastAsia="宋体" w:cs="Times New Roman"/>
          <w:b/>
          <w:sz w:val="24"/>
          <w:szCs w:val="24"/>
          <w:highlight w:val="none"/>
        </w:rPr>
      </w:pP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8971242"/>
      <w:bookmarkStart w:id="16" w:name="_Toc457748049"/>
      <w:bookmarkStart w:id="17" w:name="_Toc392227906"/>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52691655"/>
      <w:bookmarkStart w:id="19" w:name="_Toc7039"/>
      <w:bookmarkStart w:id="20"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6931"/>
      <w:bookmarkStart w:id="22" w:name="_Toc369531692"/>
      <w:bookmarkStart w:id="23" w:name="_Toc352691656"/>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2026年信息安全风险评估服务</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1187"/>
      <w:bookmarkStart w:id="25" w:name="_Toc352691658"/>
      <w:bookmarkStart w:id="26" w:name="_Toc369531694"/>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69531695"/>
      <w:bookmarkStart w:id="28" w:name="_Toc16568"/>
      <w:bookmarkStart w:id="29" w:name="_Toc352691659"/>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16824"/>
      <w:bookmarkStart w:id="31" w:name="_Toc369531696"/>
      <w:bookmarkStart w:id="32" w:name="_Toc352691660"/>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247527827"/>
      <w:bookmarkStart w:id="34" w:name="_Toc384308375"/>
      <w:bookmarkStart w:id="35" w:name="_Toc361508752"/>
      <w:bookmarkStart w:id="36" w:name="_Toc17960"/>
      <w:bookmarkStart w:id="37" w:name="_Toc247514246"/>
      <w:bookmarkStart w:id="38" w:name="_Toc144974856"/>
      <w:bookmarkStart w:id="39" w:name="_Toc152045787"/>
      <w:bookmarkStart w:id="40" w:name="_Toc152042576"/>
      <w:bookmarkStart w:id="41" w:name="_Toc300835209"/>
      <w:bookmarkStart w:id="42" w:name="_Toc369531697"/>
      <w:bookmarkStart w:id="43" w:name="_Toc352691661"/>
      <w:r>
        <w:rPr>
          <w:rFonts w:hint="eastAsia" w:ascii="宋体" w:hAnsi="宋体" w:eastAsia="宋体" w:cs="Times New Roman"/>
          <w:b/>
          <w:sz w:val="24"/>
          <w:szCs w:val="24"/>
          <w:highlight w:val="none"/>
        </w:rPr>
        <w:br w:type="page"/>
      </w:r>
      <w:bookmarkStart w:id="44" w:name="_Toc458971245"/>
      <w:bookmarkStart w:id="45" w:name="_Toc457748054"/>
      <w:bookmarkStart w:id="46" w:name="_Toc392227908"/>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_Toc458971246"/>
      <w:bookmarkStart w:id="49" w:name="OLE_LINK2"/>
      <w:bookmarkStart w:id="50" w:name="OLE_LINK1"/>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rPr>
        <w:t>不间断电源</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szCs w:val="21"/>
                <w:highlight w:val="none"/>
                <w:u w:val="none"/>
                <w:lang w:val="en-US" w:eastAsia="zh-CN"/>
              </w:rPr>
              <w:t>2026年信息安全风险评估服务</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rFonts w:ascii="宋体" w:hAnsi="宋体" w:eastAsia="宋体" w:cs="Times New Roman"/>
          <w:szCs w:val="21"/>
          <w:highlight w:val="none"/>
        </w:rPr>
      </w:pPr>
    </w:p>
    <w:p>
      <w:pPr>
        <w:pStyle w:val="2"/>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8971250"/>
      <w:bookmarkStart w:id="53" w:name="_Toc457748057"/>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392227915"/>
      <w:bookmarkStart w:id="56"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457748059"/>
      <w:bookmarkStart w:id="58" w:name="_Toc392227916"/>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4"/>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4"/>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4"/>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20"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30B8D821"/>
    <w:multiLevelType w:val="singleLevel"/>
    <w:tmpl w:val="30B8D821"/>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746136E"/>
    <w:rsid w:val="1D9A3ED2"/>
    <w:rsid w:val="1E232D73"/>
    <w:rsid w:val="206155F1"/>
    <w:rsid w:val="2C3F59DE"/>
    <w:rsid w:val="4E9F0570"/>
    <w:rsid w:val="56C44DE2"/>
    <w:rsid w:val="5B4359C7"/>
    <w:rsid w:val="6A601215"/>
    <w:rsid w:val="6F0A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1"/>
    <w:qFormat/>
    <w:uiPriority w:val="0"/>
    <w:pPr>
      <w:spacing w:after="120"/>
    </w:pPr>
    <w:rPr>
      <w:rFonts w:ascii="Times New Roman" w:hAnsi="Times New Roman" w:eastAsia="宋体" w:cs="Times New Roman"/>
      <w:szCs w:val="20"/>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5"/>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5"/>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6"/>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6"/>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6"/>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6"/>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6"/>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6"/>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6"/>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6"/>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5647</Words>
  <Characters>6117</Characters>
  <Lines>53</Lines>
  <Paragraphs>15</Paragraphs>
  <TotalTime>2</TotalTime>
  <ScaleCrop>false</ScaleCrop>
  <LinksUpToDate>false</LinksUpToDate>
  <CharactersWithSpaces>7227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2026-03-20T06:53:16Z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