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hint="eastAsia" w:ascii="宋体" w:hAnsi="宋体" w:eastAsia="宋体" w:cs="Times New Roman"/>
          <w:b/>
          <w:sz w:val="52"/>
          <w:szCs w:val="52"/>
        </w:rPr>
      </w:pPr>
      <w:r>
        <w:rPr>
          <w:rFonts w:hint="eastAsia" w:ascii="宋体" w:hAnsi="宋体" w:eastAsia="宋体" w:cs="Times New Roman"/>
          <w:b/>
          <w:sz w:val="48"/>
          <w:szCs w:val="48"/>
        </w:rPr>
        <w:t>人乳头瘤病毒基因分型（23型）检测试剂盒</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48"/>
          <w:szCs w:val="48"/>
          <w:lang w:val="en-US" w:eastAsia="zh-CN"/>
        </w:rPr>
        <w:t>等</w:t>
      </w:r>
      <w:r>
        <w:rPr>
          <w:rFonts w:hint="eastAsia" w:ascii="宋体" w:hAnsi="宋体" w:eastAsia="宋体" w:cs="Times New Roman"/>
          <w:b/>
          <w:sz w:val="48"/>
          <w:szCs w:val="48"/>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lang w:val="en-US" w:eastAsia="zh-CN"/>
        </w:rPr>
        <w:t>5</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7</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14</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9</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0</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14</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lang w:val="en-US" w:eastAsia="zh-CN"/>
        </w:rPr>
        <w:t>5</w:t>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Borders>
            <w:top w:val="none" w:sz="0" w:space="0"/>
            <w:left w:val="none" w:sz="0" w:space="0"/>
            <w:bottom w:val="none" w:sz="0" w:space="0"/>
            <w:right w:val="none" w:sz="0" w:space="0"/>
          </w:pgBorders>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1"/>
      <w:bookmarkStart w:id="3" w:name="OLE_LINK16"/>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77"/>
      <w:bookmarkStart w:id="5" w:name="_Toc461613005"/>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hint="eastAsia"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lang w:val="en-US" w:eastAsia="zh-CN"/>
        </w:rPr>
        <w:t>项目</w:t>
      </w:r>
      <w:r>
        <w:rPr>
          <w:rFonts w:hint="eastAsia" w:ascii="宋体" w:hAnsi="宋体" w:eastAsia="宋体" w:cs="宋体"/>
          <w:kern w:val="0"/>
          <w:sz w:val="24"/>
          <w:szCs w:val="24"/>
        </w:rPr>
        <w:t>名称：</w:t>
      </w:r>
      <w:bookmarkEnd w:id="4"/>
      <w:bookmarkEnd w:id="5"/>
    </w:p>
    <w:p>
      <w:pPr>
        <w:numPr>
          <w:ilvl w:val="0"/>
          <w:numId w:val="0"/>
        </w:numPr>
        <w:autoSpaceDE w:val="0"/>
        <w:autoSpaceDN w:val="0"/>
        <w:spacing w:line="360" w:lineRule="auto"/>
        <w:ind w:leftChars="27" w:firstLine="1440" w:firstLineChars="6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包件一：人乳头瘤病毒基因分型（23型）检测试剂盒</w:t>
      </w:r>
    </w:p>
    <w:p>
      <w:pPr>
        <w:numPr>
          <w:ilvl w:val="0"/>
          <w:numId w:val="0"/>
        </w:numPr>
        <w:autoSpaceDE w:val="0"/>
        <w:autoSpaceDN w:val="0"/>
        <w:spacing w:line="360" w:lineRule="auto"/>
        <w:ind w:leftChars="27" w:firstLine="1440" w:firstLineChars="600"/>
        <w:rPr>
          <w:rFonts w:hint="eastAsia" w:ascii="宋体" w:hAnsi="宋体" w:eastAsia="宋体" w:cs="宋体"/>
          <w:b w:val="0"/>
          <w:bCs w:val="0"/>
          <w:sz w:val="24"/>
          <w:szCs w:val="24"/>
          <w:lang w:val="en-US" w:eastAsia="zh-CN"/>
        </w:rPr>
      </w:pPr>
      <w:r>
        <w:rPr>
          <w:rFonts w:hint="eastAsia" w:ascii="宋体" w:hAnsi="宋体" w:eastAsia="宋体" w:cs="宋体"/>
          <w:kern w:val="0"/>
          <w:sz w:val="24"/>
          <w:szCs w:val="24"/>
          <w:highlight w:val="none"/>
          <w:lang w:val="en-US" w:eastAsia="zh-CN"/>
        </w:rPr>
        <w:t>包件二：</w:t>
      </w:r>
      <w:r>
        <w:rPr>
          <w:rFonts w:hint="eastAsia" w:ascii="宋体" w:hAnsi="宋体" w:eastAsia="宋体" w:cs="宋体"/>
          <w:b w:val="0"/>
          <w:bCs w:val="0"/>
          <w:sz w:val="24"/>
          <w:szCs w:val="24"/>
          <w:lang w:val="en-US" w:eastAsia="zh-CN"/>
        </w:rPr>
        <w:t>心肺功能五项联检测试剂盒</w:t>
      </w:r>
    </w:p>
    <w:p>
      <w:pPr>
        <w:numPr>
          <w:ilvl w:val="0"/>
          <w:numId w:val="0"/>
        </w:numPr>
        <w:autoSpaceDE w:val="0"/>
        <w:autoSpaceDN w:val="0"/>
        <w:spacing w:line="360" w:lineRule="auto"/>
        <w:ind w:leftChars="27" w:firstLine="1440" w:firstLineChars="6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包件三：微生物检测相关试剂</w:t>
      </w:r>
    </w:p>
    <w:p>
      <w:pPr>
        <w:numPr>
          <w:ilvl w:val="0"/>
          <w:numId w:val="0"/>
        </w:numPr>
        <w:autoSpaceDE w:val="0"/>
        <w:autoSpaceDN w:val="0"/>
        <w:spacing w:line="360" w:lineRule="auto"/>
        <w:ind w:leftChars="27" w:firstLine="1440" w:firstLineChars="600"/>
        <w:rPr>
          <w:rFonts w:hint="eastAsia" w:ascii="宋体" w:hAnsi="宋体" w:eastAsia="宋体"/>
          <w:b w:val="0"/>
          <w:bCs w:val="0"/>
          <w:sz w:val="24"/>
          <w:szCs w:val="24"/>
          <w:highlight w:val="none"/>
          <w:lang w:val="en-US" w:eastAsia="zh-CN"/>
        </w:rPr>
      </w:pPr>
      <w:r>
        <w:rPr>
          <w:rFonts w:hint="eastAsia" w:ascii="宋体" w:hAnsi="宋体" w:eastAsia="宋体" w:cs="宋体"/>
          <w:b w:val="0"/>
          <w:bCs w:val="0"/>
          <w:sz w:val="24"/>
          <w:szCs w:val="24"/>
          <w:lang w:val="en-US" w:eastAsia="zh-CN"/>
        </w:rPr>
        <w:t>包件四：</w:t>
      </w:r>
      <w:r>
        <w:rPr>
          <w:rFonts w:hint="eastAsia" w:ascii="宋体" w:hAnsi="宋体" w:eastAsia="宋体"/>
          <w:b w:val="0"/>
          <w:bCs w:val="0"/>
          <w:sz w:val="24"/>
          <w:szCs w:val="24"/>
          <w:highlight w:val="none"/>
          <w:lang w:val="en-US" w:eastAsia="zh-CN"/>
        </w:rPr>
        <w:t>甘胆酸检测试剂盒</w:t>
      </w:r>
    </w:p>
    <w:p>
      <w:pPr>
        <w:numPr>
          <w:ilvl w:val="0"/>
          <w:numId w:val="0"/>
        </w:numPr>
        <w:autoSpaceDE w:val="0"/>
        <w:autoSpaceDN w:val="0"/>
        <w:spacing w:line="360" w:lineRule="auto"/>
        <w:ind w:leftChars="27" w:firstLine="1440" w:firstLineChars="600"/>
        <w:rPr>
          <w:rFonts w:hint="eastAsia" w:ascii="宋体" w:hAnsi="宋体" w:eastAsia="宋体"/>
          <w:b w:val="0"/>
          <w:bCs w:val="0"/>
          <w:sz w:val="24"/>
          <w:szCs w:val="24"/>
          <w:highlight w:val="none"/>
          <w:lang w:val="en-US" w:eastAsia="zh-CN"/>
        </w:rPr>
      </w:pPr>
      <w:r>
        <w:rPr>
          <w:rFonts w:hint="eastAsia" w:ascii="宋体" w:hAnsi="宋体" w:eastAsia="宋体"/>
          <w:b w:val="0"/>
          <w:bCs w:val="0"/>
          <w:sz w:val="24"/>
          <w:szCs w:val="24"/>
          <w:highlight w:val="none"/>
          <w:lang w:val="en-US" w:eastAsia="zh-CN"/>
        </w:rPr>
        <w:t>包件五：呼吸道三项抗原检测</w:t>
      </w:r>
    </w:p>
    <w:p>
      <w:pPr>
        <w:numPr>
          <w:ilvl w:val="0"/>
          <w:numId w:val="0"/>
        </w:numPr>
        <w:autoSpaceDE w:val="0"/>
        <w:autoSpaceDN w:val="0"/>
        <w:spacing w:line="360" w:lineRule="auto"/>
        <w:ind w:leftChars="27" w:firstLine="1440" w:firstLineChars="600"/>
        <w:rPr>
          <w:rFonts w:hint="eastAsia" w:ascii="宋体" w:hAnsi="宋体" w:eastAsia="宋体"/>
          <w:b w:val="0"/>
          <w:bCs w:val="0"/>
          <w:sz w:val="24"/>
          <w:szCs w:val="24"/>
          <w:highlight w:val="none"/>
          <w:lang w:val="en-US" w:eastAsia="zh-CN"/>
        </w:rPr>
      </w:pPr>
      <w:r>
        <w:rPr>
          <w:rFonts w:hint="eastAsia" w:ascii="宋体" w:hAnsi="宋体" w:eastAsia="宋体"/>
          <w:b w:val="0"/>
          <w:bCs w:val="0"/>
          <w:sz w:val="24"/>
          <w:szCs w:val="24"/>
          <w:highlight w:val="none"/>
          <w:lang w:val="en-US" w:eastAsia="zh-CN"/>
        </w:rPr>
        <w:t>包件六：病原体和感染因子类的检测相关试剂</w:t>
      </w:r>
    </w:p>
    <w:p>
      <w:pPr>
        <w:numPr>
          <w:ilvl w:val="0"/>
          <w:numId w:val="0"/>
        </w:numPr>
        <w:autoSpaceDE w:val="0"/>
        <w:autoSpaceDN w:val="0"/>
        <w:spacing w:line="360" w:lineRule="auto"/>
        <w:ind w:leftChars="27" w:firstLine="1440" w:firstLineChars="600"/>
        <w:rPr>
          <w:rFonts w:hint="eastAsia" w:ascii="宋体" w:hAnsi="宋体" w:eastAsia="宋体"/>
          <w:b w:val="0"/>
          <w:bCs w:val="0"/>
          <w:sz w:val="24"/>
          <w:szCs w:val="24"/>
          <w:highlight w:val="none"/>
          <w:lang w:val="en-US" w:eastAsia="zh-CN"/>
        </w:rPr>
      </w:pPr>
      <w:r>
        <w:rPr>
          <w:rFonts w:hint="eastAsia" w:ascii="宋体" w:hAnsi="宋体" w:eastAsia="宋体"/>
          <w:b w:val="0"/>
          <w:bCs w:val="0"/>
          <w:sz w:val="24"/>
          <w:szCs w:val="24"/>
          <w:highlight w:val="none"/>
          <w:lang w:val="en-US" w:eastAsia="zh-CN"/>
        </w:rPr>
        <w:t>包件七：血糖试条</w:t>
      </w:r>
    </w:p>
    <w:p>
      <w:pPr>
        <w:numPr>
          <w:ilvl w:val="0"/>
          <w:numId w:val="0"/>
        </w:numPr>
        <w:autoSpaceDE w:val="0"/>
        <w:autoSpaceDN w:val="0"/>
        <w:spacing w:line="360" w:lineRule="auto"/>
        <w:ind w:leftChars="27" w:firstLine="1440" w:firstLineChars="600"/>
        <w:rPr>
          <w:rFonts w:hint="default" w:ascii="宋体" w:hAnsi="宋体" w:eastAsia="宋体"/>
          <w:b w:val="0"/>
          <w:bCs w:val="0"/>
          <w:sz w:val="24"/>
          <w:szCs w:val="24"/>
          <w:highlight w:val="none"/>
          <w:lang w:val="en-US" w:eastAsia="zh-CN"/>
        </w:rPr>
      </w:pPr>
      <w:r>
        <w:rPr>
          <w:rFonts w:hint="eastAsia" w:ascii="宋体" w:hAnsi="宋体" w:eastAsia="宋体"/>
          <w:b w:val="0"/>
          <w:bCs w:val="0"/>
          <w:sz w:val="24"/>
          <w:szCs w:val="24"/>
          <w:highlight w:val="none"/>
          <w:lang w:val="en-US" w:eastAsia="zh-CN"/>
        </w:rPr>
        <w:t>包件八：荧光染色液</w:t>
      </w:r>
    </w:p>
    <w:p>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供应商可响应1个或多个包件</w:t>
      </w:r>
    </w:p>
    <w:p>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服务期限：合同签订后2年</w:t>
      </w:r>
    </w:p>
    <w:p>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技术要求：见本询价通知书第四章“货物需求一览表及技术规格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12"/>
      <w:bookmarkStart w:id="7" w:name="_Toc461613084"/>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7</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14</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7</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16</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9"/>
          <w:rFonts w:ascii="Times New Roman" w:hAnsi="Times New Roman" w:eastAsia="宋体"/>
          <w:sz w:val="24"/>
          <w:szCs w:val="24"/>
          <w:highlight w:val="none"/>
        </w:rPr>
        <w:t>https</w:t>
      </w:r>
      <w:r>
        <w:rPr>
          <w:rStyle w:val="39"/>
          <w:rFonts w:ascii="宋体" w:hAnsi="宋体" w:eastAsia="宋体"/>
          <w:sz w:val="24"/>
          <w:szCs w:val="24"/>
          <w:highlight w:val="none"/>
        </w:rPr>
        <w:t>://</w:t>
      </w:r>
      <w:r>
        <w:rPr>
          <w:rStyle w:val="39"/>
          <w:rFonts w:ascii="Times New Roman" w:hAnsi="Times New Roman" w:eastAsia="宋体"/>
          <w:sz w:val="24"/>
          <w:szCs w:val="24"/>
          <w:highlight w:val="none"/>
        </w:rPr>
        <w:t>www</w:t>
      </w:r>
      <w:r>
        <w:rPr>
          <w:rStyle w:val="39"/>
          <w:rFonts w:ascii="宋体" w:hAnsi="宋体" w:eastAsia="宋体"/>
          <w:sz w:val="24"/>
          <w:szCs w:val="24"/>
          <w:highlight w:val="none"/>
        </w:rPr>
        <w:t>.</w:t>
      </w:r>
      <w:r>
        <w:rPr>
          <w:rStyle w:val="39"/>
          <w:rFonts w:ascii="Times New Roman" w:hAnsi="Times New Roman" w:eastAsia="宋体"/>
          <w:sz w:val="24"/>
          <w:szCs w:val="24"/>
          <w:highlight w:val="none"/>
        </w:rPr>
        <w:t>szy</w:t>
      </w:r>
      <w:r>
        <w:rPr>
          <w:rStyle w:val="39"/>
          <w:rFonts w:ascii="宋体" w:hAnsi="宋体" w:eastAsia="宋体"/>
          <w:sz w:val="24"/>
          <w:szCs w:val="24"/>
          <w:highlight w:val="none"/>
        </w:rPr>
        <w:t>.</w:t>
      </w:r>
      <w:r>
        <w:rPr>
          <w:rStyle w:val="39"/>
          <w:rFonts w:ascii="Times New Roman" w:hAnsi="Times New Roman" w:eastAsia="宋体"/>
          <w:sz w:val="24"/>
          <w:szCs w:val="24"/>
          <w:highlight w:val="none"/>
        </w:rPr>
        <w:t>sh</w:t>
      </w:r>
      <w:r>
        <w:rPr>
          <w:rStyle w:val="39"/>
          <w:rFonts w:ascii="宋体" w:hAnsi="宋体" w:eastAsia="宋体"/>
          <w:sz w:val="24"/>
          <w:szCs w:val="24"/>
          <w:highlight w:val="none"/>
        </w:rPr>
        <w:t>.</w:t>
      </w:r>
      <w:r>
        <w:rPr>
          <w:rStyle w:val="39"/>
          <w:rFonts w:ascii="Times New Roman" w:hAnsi="Times New Roman" w:eastAsia="宋体"/>
          <w:sz w:val="24"/>
          <w:szCs w:val="24"/>
          <w:highlight w:val="none"/>
        </w:rPr>
        <w:t>cn</w:t>
      </w:r>
      <w:r>
        <w:rPr>
          <w:rStyle w:val="39"/>
          <w:rFonts w:ascii="宋体" w:hAnsi="宋体" w:eastAsia="宋体"/>
          <w:sz w:val="24"/>
          <w:szCs w:val="24"/>
          <w:highlight w:val="none"/>
        </w:rPr>
        <w:t>/</w:t>
      </w:r>
      <w:r>
        <w:rPr>
          <w:rStyle w:val="39"/>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5</w:t>
      </w:r>
      <w:r>
        <w:rPr>
          <w:rFonts w:hint="eastAsia" w:ascii="Times New Roman" w:hAnsi="Times New Roman" w:eastAsia="宋体" w:cs="宋体"/>
          <w:color w:val="000000" w:themeColor="text1"/>
          <w:kern w:val="0"/>
          <w:sz w:val="24"/>
          <w:szCs w:val="24"/>
          <w:highlight w:val="none"/>
          <w14:textFill>
            <w14:solidFill>
              <w14:schemeClr w14:val="tx1"/>
            </w14:solidFill>
          </w14:textFill>
        </w:rPr>
        <w:t>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7</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16</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7</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21</w:t>
      </w:r>
      <w:r>
        <w:rPr>
          <w:rFonts w:hint="eastAsia" w:ascii="宋体" w:hAnsi="宋体" w:eastAsia="宋体" w:cs="Times New Roman"/>
          <w:sz w:val="24"/>
          <w:szCs w:val="24"/>
          <w:highlight w:val="none"/>
        </w:rPr>
        <w:t>日</w:t>
      </w:r>
      <w:r>
        <w:rPr>
          <w:rFonts w:hint="eastAsia" w:ascii="宋体" w:hAnsi="宋体" w:eastAsia="宋体" w:cs="Times New Roman"/>
          <w:sz w:val="24"/>
          <w:szCs w:val="24"/>
          <w:highlight w:val="none"/>
        </w:rPr>
        <w:t>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0</w:t>
      </w:r>
      <w:r>
        <w:rPr>
          <w:rFonts w:hint="eastAsia" w:ascii="Times New Roman" w:hAnsi="Times New Roman" w:eastAsia="宋体" w:cs="Times New Roman"/>
          <w:sz w:val="24"/>
          <w:szCs w:val="24"/>
          <w:highlight w:val="none"/>
        </w:rPr>
        <w:t>0</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地点：中国上海市</w:t>
      </w:r>
      <w:r>
        <w:rPr>
          <w:rFonts w:hint="eastAsia" w:ascii="宋体" w:hAnsi="宋体" w:eastAsia="宋体" w:cs="Times New Roman"/>
          <w:sz w:val="24"/>
          <w:szCs w:val="24"/>
          <w:highlight w:val="none"/>
          <w:lang w:val="en-US" w:eastAsia="zh-CN"/>
        </w:rPr>
        <w:t>嘉定区荣联路68</w:t>
      </w:r>
      <w:r>
        <w:rPr>
          <w:rFonts w:hint="eastAsia" w:ascii="宋体" w:hAnsi="宋体" w:eastAsia="宋体" w:cs="Times New Roman"/>
          <w:sz w:val="24"/>
          <w:szCs w:val="24"/>
          <w:highlight w:val="none"/>
        </w:rPr>
        <w:t>号上海市中医医院采购处</w:t>
      </w:r>
    </w:p>
    <w:bookmarkEnd w:id="6"/>
    <w:bookmarkEnd w:id="7"/>
    <w:p>
      <w:pPr>
        <w:autoSpaceDE w:val="0"/>
        <w:autoSpaceDN w:val="0"/>
        <w:spacing w:line="360"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w:t>
      </w:r>
      <w:r>
        <w:rPr>
          <w:rFonts w:hint="eastAsia" w:ascii="宋体" w:hAnsi="宋体" w:eastAsia="宋体" w:cs="Times New Roman"/>
          <w:sz w:val="24"/>
          <w:szCs w:val="24"/>
          <w:lang w:val="en-US" w:eastAsia="zh-CN"/>
        </w:rPr>
        <w:t>嘉定区</w:t>
      </w:r>
      <w:r>
        <w:rPr>
          <w:rFonts w:hint="eastAsia" w:ascii="宋体" w:hAnsi="宋体" w:eastAsia="宋体" w:cs="Times New Roman"/>
          <w:sz w:val="24"/>
          <w:szCs w:val="20"/>
          <w:lang w:val="en-US" w:eastAsia="zh-CN"/>
        </w:rPr>
        <w:t>荣联路68</w:t>
      </w:r>
      <w:r>
        <w:rPr>
          <w:rFonts w:hint="eastAsia" w:ascii="宋体" w:hAnsi="宋体" w:eastAsia="宋体" w:cs="Times New Roman"/>
          <w:sz w:val="24"/>
          <w:szCs w:val="20"/>
        </w:rPr>
        <w:t>号</w:t>
      </w:r>
    </w:p>
    <w:p>
      <w:pPr>
        <w:spacing w:line="360" w:lineRule="auto"/>
        <w:jc w:val="left"/>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ascii="宋体" w:hAnsi="宋体" w:eastAsia="宋体" w:cs="Times New Roman"/>
          <w:sz w:val="24"/>
          <w:szCs w:val="20"/>
        </w:rPr>
        <w:t>20</w:t>
      </w:r>
      <w:r>
        <w:rPr>
          <w:rFonts w:hint="eastAsia" w:ascii="宋体" w:hAnsi="宋体" w:eastAsia="宋体" w:cs="Times New Roman"/>
          <w:sz w:val="24"/>
          <w:szCs w:val="20"/>
          <w:lang w:val="en-US" w:eastAsia="zh-CN"/>
        </w:rPr>
        <w:t>1822</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lang w:val="en-US" w:eastAsia="zh-CN"/>
        </w:rPr>
        <w:t>52</w:t>
      </w:r>
      <w:r>
        <w:rPr>
          <w:rFonts w:hint="eastAsia" w:ascii="宋体" w:hAnsi="宋体" w:eastAsia="宋体" w:cs="Times New Roman"/>
          <w:sz w:val="24"/>
          <w:szCs w:val="20"/>
        </w:rPr>
        <w:t>237</w:t>
      </w:r>
    </w:p>
    <w:p>
      <w:pPr>
        <w:autoSpaceDE w:val="0"/>
        <w:autoSpaceDN w:val="0"/>
        <w:spacing w:line="360" w:lineRule="auto"/>
        <w:jc w:val="left"/>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lang w:val="en-US" w:eastAsia="zh-CN"/>
        </w:rPr>
        <w:t>陆海玲</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pgBorders>
            <w:top w:val="none" w:sz="0" w:space="0"/>
            <w:left w:val="none" w:sz="0" w:space="0"/>
            <w:bottom w:val="none" w:sz="0" w:space="0"/>
            <w:right w:val="none" w:sz="0" w:space="0"/>
          </w:pgBorders>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516880880"/>
      <w:bookmarkStart w:id="9" w:name="_Toc9066359"/>
      <w:bookmarkStart w:id="10" w:name="_Toc11326093"/>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tbl>
      <w:tblPr>
        <w:tblStyle w:val="32"/>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tabs>
                <w:tab w:val="left" w:pos="532"/>
              </w:tabs>
              <w:autoSpaceDE w:val="0"/>
              <w:autoSpaceDN w:val="0"/>
              <w:spacing w:before="120" w:after="120"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条款号</w:t>
            </w:r>
          </w:p>
        </w:tc>
        <w:tc>
          <w:tcPr>
            <w:tcW w:w="8366" w:type="dxa"/>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highlight w:val="none"/>
              </w:rPr>
            </w:pPr>
            <w:r>
              <w:rPr>
                <w:rFonts w:hint="eastAsia" w:ascii="宋体" w:hAnsi="宋体" w:eastAsia="宋体" w:cs="Times New Roman"/>
                <w:b/>
                <w:sz w:val="24"/>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2</w:t>
            </w:r>
          </w:p>
        </w:tc>
        <w:tc>
          <w:tcPr>
            <w:tcW w:w="8366" w:type="dxa"/>
            <w:vAlign w:val="center"/>
          </w:tcPr>
          <w:p>
            <w:pPr>
              <w:autoSpaceDE w:val="0"/>
              <w:autoSpaceDN w:val="0"/>
              <w:spacing w:line="360" w:lineRule="auto"/>
              <w:rPr>
                <w:rFonts w:hint="default" w:ascii="宋体" w:hAnsi="宋体" w:eastAsia="宋体" w:cs="Times New Roman"/>
                <w:sz w:val="24"/>
                <w:szCs w:val="20"/>
                <w:highlight w:val="none"/>
                <w:lang w:val="en-US"/>
              </w:rPr>
            </w:pPr>
            <w:r>
              <w:rPr>
                <w:rFonts w:hint="eastAsia" w:ascii="宋体" w:hAnsi="宋体" w:eastAsia="宋体" w:cs="Times New Roman"/>
                <w:sz w:val="24"/>
                <w:szCs w:val="20"/>
                <w:highlight w:val="none"/>
              </w:rPr>
              <w:t>项目名称：人乳头瘤病毒基因分型（23型）检测试剂盒</w:t>
            </w:r>
            <w:r>
              <w:rPr>
                <w:rFonts w:hint="eastAsia" w:ascii="宋体" w:hAnsi="宋体" w:eastAsia="宋体" w:cs="Times New Roman"/>
                <w:sz w:val="24"/>
                <w:szCs w:val="20"/>
                <w:highlight w:val="none"/>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1.3</w:t>
            </w:r>
          </w:p>
        </w:tc>
        <w:tc>
          <w:tcPr>
            <w:tcW w:w="8366" w:type="dxa"/>
            <w:vAlign w:val="center"/>
          </w:tcPr>
          <w:p>
            <w:pPr>
              <w:autoSpaceDE w:val="0"/>
              <w:autoSpaceDN w:val="0"/>
              <w:spacing w:line="360" w:lineRule="auto"/>
              <w:rPr>
                <w:rFonts w:hint="default" w:ascii="宋体" w:hAnsi="宋体" w:eastAsia="宋体" w:cs="Times New Roman"/>
                <w:sz w:val="24"/>
                <w:szCs w:val="20"/>
                <w:highlight w:val="none"/>
                <w:lang w:val="en-US"/>
              </w:rPr>
            </w:pPr>
            <w:r>
              <w:rPr>
                <w:rFonts w:hint="eastAsia" w:ascii="宋体" w:hAnsi="宋体" w:eastAsia="宋体" w:cs="Times New Roman"/>
                <w:sz w:val="24"/>
                <w:szCs w:val="20"/>
                <w:highlight w:val="none"/>
              </w:rPr>
              <w:t>合同名称：人乳头瘤病毒基因分型（23型）检测试剂盒</w:t>
            </w:r>
            <w:r>
              <w:rPr>
                <w:rFonts w:hint="eastAsia" w:ascii="宋体" w:hAnsi="宋体" w:eastAsia="宋体" w:cs="Times New Roman"/>
                <w:sz w:val="24"/>
                <w:szCs w:val="20"/>
                <w:highlight w:val="none"/>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4</w:t>
            </w:r>
          </w:p>
        </w:tc>
        <w:tc>
          <w:tcPr>
            <w:tcW w:w="8366" w:type="dxa"/>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w:t>
            </w:r>
            <w:r>
              <w:rPr>
                <w:rFonts w:hint="eastAsia" w:ascii="宋体" w:hAnsi="宋体" w:eastAsia="宋体" w:cs="Times New Roman"/>
                <w:sz w:val="24"/>
                <w:szCs w:val="20"/>
                <w:highlight w:val="none"/>
                <w:lang w:val="en-US" w:eastAsia="zh-CN"/>
              </w:rPr>
              <w:t>自筹</w:t>
            </w:r>
            <w:r>
              <w:rPr>
                <w:rFonts w:hint="eastAsia" w:ascii="宋体" w:hAnsi="宋体" w:eastAsia="宋体" w:cs="Times New Roman"/>
                <w:sz w:val="24"/>
                <w:szCs w:val="20"/>
                <w:highlight w:val="none"/>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sz w:val="24"/>
                <w:szCs w:val="24"/>
                <w:highlight w:val="none"/>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3</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投标人应提供下列文件，并按顺序装订成册，编制投标文件目录：</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投标人应按照招标文件中提供的格式完整、正确填写投标书。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2.开标一览表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（1）开标一览表应填写项目总价。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（2）投标人应按照招标文件中提供的格式完整、正确填写开标一览表。开标一览表中的投标总价应与投标分项报价表中总价完全一致，否则将可能否决其投标。</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3.投标分项报价表</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4.货物说明一览表</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5.响应/偏离表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投标人应按《招标文件》要求填写技术规格响应/偏离表、商务条款响应/偏离表。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6.投标人资格证明文件</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投标人资质证明文件具体内容见规定。</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7</w:t>
            </w:r>
            <w:r>
              <w:rPr>
                <w:rFonts w:hint="eastAsia" w:ascii="宋体" w:hAnsi="宋体" w:eastAsia="宋体" w:cs="Times New Roman"/>
                <w:sz w:val="24"/>
                <w:szCs w:val="20"/>
                <w:highlight w:val="none"/>
              </w:rPr>
              <w:t>.投标设备相关的技术服务、安装调试及保修服务的售后服务承诺书。</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val="en-US" w:eastAsia="zh-CN"/>
              </w:rPr>
              <w:t>8</w:t>
            </w:r>
            <w:r>
              <w:rPr>
                <w:rFonts w:hint="eastAsia" w:ascii="宋体" w:hAnsi="宋体" w:eastAsia="宋体" w:cs="Times New Roman"/>
                <w:sz w:val="24"/>
                <w:szCs w:val="20"/>
                <w:highlight w:val="none"/>
              </w:rPr>
              <w:t>.其他资料（投标人认为有必要提交的其他资料）</w:t>
            </w:r>
            <w:r>
              <w:rPr>
                <w:rFonts w:hint="eastAsia" w:ascii="宋体" w:hAnsi="宋体" w:eastAsia="宋体" w:cs="Times New Roman"/>
                <w:sz w:val="24"/>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ascii="宋体" w:hAnsi="宋体" w:eastAsia="宋体" w:cs="Times New Roman"/>
                <w:sz w:val="24"/>
                <w:szCs w:val="20"/>
                <w:highlight w:val="none"/>
              </w:rPr>
              <w:t>投标人</w:t>
            </w:r>
            <w:r>
              <w:rPr>
                <w:rFonts w:hint="eastAsia" w:ascii="宋体" w:hAnsi="宋体" w:eastAsia="宋体" w:cs="Times New Roman"/>
                <w:sz w:val="24"/>
                <w:szCs w:val="20"/>
                <w:highlight w:val="none"/>
              </w:rPr>
              <w:t>应严格按照招标文件规定的格式和内容编制投标文件，</w:t>
            </w:r>
            <w:r>
              <w:rPr>
                <w:rFonts w:ascii="宋体" w:hAnsi="宋体" w:eastAsia="宋体" w:cs="Times New Roman"/>
                <w:sz w:val="24"/>
                <w:szCs w:val="20"/>
                <w:highlight w:val="none"/>
              </w:rPr>
              <w:t>要求对本招标文件</w:t>
            </w:r>
            <w:r>
              <w:rPr>
                <w:rFonts w:hint="eastAsia" w:ascii="宋体" w:hAnsi="宋体" w:eastAsia="宋体" w:cs="Times New Roman"/>
                <w:sz w:val="24"/>
                <w:szCs w:val="20"/>
                <w:highlight w:val="none"/>
                <w:lang w:val="en-US" w:eastAsia="zh-CN"/>
              </w:rPr>
              <w:t>4.1</w:t>
            </w:r>
            <w:r>
              <w:rPr>
                <w:rFonts w:ascii="宋体" w:hAnsi="宋体" w:eastAsia="宋体" w:cs="Times New Roman"/>
                <w:sz w:val="24"/>
                <w:szCs w:val="20"/>
                <w:highlight w:val="none"/>
              </w:rPr>
              <w:t>所提出各项要求进行逐条逐项答复、说明和解释，</w:t>
            </w:r>
            <w:r>
              <w:rPr>
                <w:rFonts w:hint="eastAsia" w:ascii="宋体" w:hAnsi="宋体" w:eastAsia="宋体" w:cs="Times New Roman"/>
                <w:sz w:val="24"/>
                <w:szCs w:val="20"/>
                <w:highlight w:val="none"/>
              </w:rPr>
              <w:t>并填写在</w:t>
            </w:r>
            <w:r>
              <w:rPr>
                <w:rFonts w:ascii="宋体" w:hAnsi="宋体" w:eastAsia="宋体" w:cs="Times New Roman"/>
                <w:sz w:val="24"/>
                <w:szCs w:val="20"/>
                <w:highlight w:val="none"/>
              </w:rPr>
              <w:t>技术</w:t>
            </w:r>
            <w:r>
              <w:rPr>
                <w:rFonts w:hint="eastAsia" w:ascii="宋体" w:hAnsi="宋体" w:eastAsia="宋体" w:cs="Times New Roman"/>
                <w:sz w:val="24"/>
                <w:szCs w:val="20"/>
                <w:highlight w:val="none"/>
              </w:rPr>
              <w:t>规格响应/</w:t>
            </w:r>
            <w:r>
              <w:rPr>
                <w:rFonts w:ascii="宋体" w:hAnsi="宋体" w:eastAsia="宋体" w:cs="Times New Roman"/>
                <w:sz w:val="24"/>
                <w:szCs w:val="20"/>
                <w:highlight w:val="none"/>
              </w:rPr>
              <w:t>偏离表</w:t>
            </w:r>
            <w:r>
              <w:rPr>
                <w:rFonts w:hint="eastAsia" w:ascii="宋体" w:hAnsi="宋体" w:eastAsia="宋体" w:cs="Times New Roman"/>
                <w:sz w:val="24"/>
                <w:szCs w:val="20"/>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.3</w:t>
            </w:r>
          </w:p>
        </w:tc>
        <w:tc>
          <w:tcPr>
            <w:tcW w:w="8366" w:type="dxa"/>
            <w:vAlign w:val="center"/>
          </w:tcPr>
          <w:p>
            <w:pPr>
              <w:autoSpaceDE w:val="0"/>
              <w:autoSpaceDN w:val="0"/>
              <w:spacing w:line="360" w:lineRule="auto"/>
              <w:ind w:left="105" w:right="57" w:hanging="4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投标人应根据第</w:t>
            </w:r>
            <w:r>
              <w:rPr>
                <w:rFonts w:hint="eastAsia" w:ascii="宋体" w:hAnsi="宋体" w:eastAsia="宋体" w:cs="Times New Roman"/>
                <w:sz w:val="24"/>
                <w:szCs w:val="20"/>
                <w:highlight w:val="none"/>
                <w:lang w:val="en-US" w:eastAsia="zh-CN"/>
              </w:rPr>
              <w:t>四</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.4</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.5</w:t>
            </w:r>
          </w:p>
        </w:tc>
        <w:tc>
          <w:tcPr>
            <w:tcW w:w="8366" w:type="dxa"/>
            <w:vAlign w:val="center"/>
          </w:tcPr>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（1）若投标产品以外币报价且为中华人民共和国关境外交付的货物，按开标当日中国银行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4"/>
                <w:highlight w:val="none"/>
              </w:rPr>
              <w:t>（2）若投标产品以外币报价且为中华人民共和国关境内交付的货物，按开标当日中国银行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6</w:t>
            </w:r>
          </w:p>
        </w:tc>
        <w:tc>
          <w:tcPr>
            <w:tcW w:w="8366" w:type="dxa"/>
            <w:vAlign w:val="center"/>
          </w:tcPr>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1）关境内制造的货物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（1）EXW（出厂价）（应包括增值税和其它税费）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（4）按照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p>
            <w:pPr>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2）投标截止时间前已经进口的货物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w:t>
            </w:r>
            <w:r>
              <w:rPr>
                <w:rFonts w:hint="eastAsia" w:ascii="宋体" w:hAnsi="宋体" w:eastAsia="宋体" w:cs="Times New Roman"/>
                <w:sz w:val="24"/>
                <w:szCs w:val="20"/>
                <w:highlight w:val="none"/>
              </w:rPr>
              <w:t>仓库交货价（应包括增值税、关税和其他税费）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ascii="宋体" w:hAnsi="宋体" w:eastAsia="宋体" w:cs="Times New Roman"/>
                <w:sz w:val="24"/>
                <w:szCs w:val="20"/>
                <w:highlight w:val="none"/>
              </w:rPr>
              <w:t>（4）</w:t>
            </w:r>
            <w:r>
              <w:rPr>
                <w:rFonts w:hint="eastAsia" w:ascii="宋体" w:hAnsi="宋体" w:eastAsia="宋体" w:cs="Times New Roman"/>
                <w:sz w:val="24"/>
                <w:szCs w:val="20"/>
                <w:highlight w:val="none"/>
              </w:rPr>
              <w:t>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资格标准：</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（1）投标人具有</w:t>
            </w:r>
            <w:r>
              <w:rPr>
                <w:rFonts w:ascii="宋体" w:hAnsi="宋体" w:eastAsia="宋体" w:cs="Times New Roman"/>
                <w:sz w:val="24"/>
                <w:szCs w:val="20"/>
                <w:highlight w:val="none"/>
              </w:rPr>
              <w:t>合法经营资质的独立法人</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其他组织</w:t>
            </w:r>
            <w:r>
              <w:rPr>
                <w:rFonts w:hint="eastAsia" w:ascii="宋体" w:hAnsi="宋体" w:eastAsia="宋体" w:cs="Times New Roman"/>
                <w:sz w:val="24"/>
                <w:szCs w:val="20"/>
                <w:highlight w:val="none"/>
              </w:rPr>
              <w:t>，并具备相应的经营、业务范围</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（2）投标人未被“信用中国”网站（www.creditchina.gov.cn）、中国政府采购网（www.ccgp.gov.cn</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列入失信执行人、重大税收违法案件当事人名单、政府采购严重违法失信行为记录名单</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（3）投标人参加政府采购活动前三年内，在经营活动中没有重大违法记录</w:t>
            </w:r>
            <w:r>
              <w:rPr>
                <w:rFonts w:hint="eastAsia" w:ascii="宋体" w:hAnsi="宋体" w:eastAsia="宋体" w:cs="Times New Roman"/>
                <w:sz w:val="24"/>
                <w:szCs w:val="20"/>
                <w:highlight w:val="none"/>
                <w:lang w:eastAsia="zh-CN"/>
              </w:rPr>
              <w:t>。</w:t>
            </w:r>
            <w:r>
              <w:rPr>
                <w:rFonts w:ascii="宋体" w:hAnsi="宋体" w:eastAsia="宋体" w:cs="Times New Roman"/>
                <w:sz w:val="24"/>
                <w:szCs w:val="20"/>
                <w:highlight w:val="none"/>
              </w:rPr>
              <w:t xml:space="preserve"> </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（4）投标人是专业生产本次所需设备的制造商，或由制造商指定代理商作为本次投标的授权代理</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val="en-US" w:eastAsia="zh-CN"/>
              </w:rPr>
            </w:pPr>
            <w:r>
              <w:rPr>
                <w:rFonts w:ascii="宋体" w:hAnsi="宋体" w:eastAsia="宋体" w:cs="Times New Roman"/>
                <w:sz w:val="24"/>
                <w:szCs w:val="20"/>
                <w:highlight w:val="none"/>
              </w:rPr>
              <w:t>（5）投标人必须具有相应设备的《医疗器械生产企业许可证》或《医疗器械经营企业许可证》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6</w:t>
            </w:r>
            <w:r>
              <w:rPr>
                <w:rFonts w:hint="eastAsia" w:ascii="宋体" w:hAnsi="宋体" w:eastAsia="宋体" w:cs="Times New Roman"/>
                <w:sz w:val="24"/>
                <w:szCs w:val="20"/>
                <w:highlight w:val="none"/>
              </w:rPr>
              <w:t>）投标人代表可以是法定代表人或被授权委托人。</w:t>
            </w:r>
          </w:p>
          <w:p>
            <w:pPr>
              <w:kinsoku w:val="0"/>
              <w:autoSpaceDE w:val="0"/>
              <w:autoSpaceDN w:val="0"/>
              <w:spacing w:line="360" w:lineRule="auto"/>
              <w:ind w:right="57" w:firstLine="480" w:firstLineChars="200"/>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.3</w:t>
            </w:r>
          </w:p>
        </w:tc>
        <w:tc>
          <w:tcPr>
            <w:tcW w:w="8366" w:type="dxa"/>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投标人必须提交的资格证明文件应包括：</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（1）投标人在注册地的相关注册法律文件。若投标人在中华人民共和国境内注册的，则必须提供营业执照</w:t>
            </w:r>
            <w:r>
              <w:rPr>
                <w:rFonts w:hint="eastAsia" w:ascii="宋体" w:hAnsi="宋体" w:eastAsia="宋体" w:cs="宋体"/>
                <w:kern w:val="0"/>
                <w:sz w:val="24"/>
                <w:szCs w:val="24"/>
                <w:highlight w:val="none"/>
              </w:rPr>
              <w:t>（或事业单位、社会团体相关证书）</w:t>
            </w:r>
            <w:r>
              <w:rPr>
                <w:rFonts w:hint="eastAsia" w:ascii="宋体" w:hAnsi="宋体" w:eastAsia="宋体" w:cs="Times New Roman"/>
                <w:sz w:val="24"/>
                <w:szCs w:val="20"/>
                <w:highlight w:val="none"/>
              </w:rPr>
              <w:t>的复印件</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ascii="宋体" w:hAnsi="宋体" w:eastAsia="宋体" w:cs="Times New Roman"/>
                <w:strike/>
                <w:color w:val="00B0F0"/>
                <w:sz w:val="24"/>
                <w:szCs w:val="20"/>
                <w:highlight w:val="none"/>
              </w:rPr>
            </w:pPr>
            <w:r>
              <w:rPr>
                <w:rFonts w:hint="eastAsia" w:ascii="宋体" w:hAnsi="宋体" w:eastAsia="宋体" w:cs="Times New Roman"/>
                <w:sz w:val="24"/>
                <w:szCs w:val="20"/>
                <w:highlight w:val="none"/>
              </w:rPr>
              <w:t>（2）投标人应是专业生产本次所需主系统设备的制造商或制造商唯一授权的参与本次投标的代理商，且应得到制造商针对本次投标项目的制造商授权书，授权书的有效期应至少与投标有效期一致</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）投标人需提供无重大违法记录承诺书；</w:t>
            </w:r>
            <w:r>
              <w:rPr>
                <w:rFonts w:hint="eastAsia" w:ascii="宋体" w:hAnsi="宋体" w:eastAsia="宋体" w:cs="Times New Roman"/>
                <w:sz w:val="24"/>
                <w:szCs w:val="24"/>
                <w:highlight w:val="none"/>
              </w:rPr>
              <w:t>（格式见附件1）</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6</w:t>
            </w:r>
            <w:r>
              <w:rPr>
                <w:rFonts w:hint="eastAsia" w:ascii="宋体" w:hAnsi="宋体" w:eastAsia="宋体" w:cs="Times New Roman"/>
                <w:sz w:val="24"/>
                <w:szCs w:val="20"/>
                <w:highlight w:val="none"/>
              </w:rPr>
              <w:t>）</w:t>
            </w:r>
            <w:r>
              <w:rPr>
                <w:rFonts w:hint="eastAsia" w:ascii="宋体" w:hAnsi="宋体" w:eastAsia="宋体" w:cs="Times New Roman"/>
                <w:sz w:val="24"/>
                <w:szCs w:val="24"/>
                <w:highlight w:val="none"/>
              </w:rPr>
              <w:t>投标人需提供无行贿犯罪记录声明函；（格式见附件2）</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证明货物和服务与招标文件的要求相一致的文件，可以是文字资料、图纸和数据，包括但不限于：</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1</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rPr>
              <w:t>货物主要技术指标和性能的详细说明</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2</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rPr>
              <w:t>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3</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rPr>
              <w:t>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rPr>
              <w:t>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8</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9</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正本的份数：1份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副本的份数：2份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年</w:t>
            </w:r>
            <w:r>
              <w:rPr>
                <w:rFonts w:hint="eastAsia" w:ascii="宋体" w:hAnsi="宋体" w:eastAsia="宋体" w:cs="Times New Roman"/>
                <w:sz w:val="24"/>
                <w:szCs w:val="20"/>
                <w:highlight w:val="none"/>
                <w:lang w:val="en-US" w:eastAsia="zh-CN"/>
              </w:rPr>
              <w:t>7</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21</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lang w:val="en-US" w:eastAsia="zh-CN"/>
              </w:rPr>
              <w:t>13</w:t>
            </w:r>
            <w:r>
              <w:rPr>
                <w:rFonts w:hint="eastAsia" w:ascii="宋体" w:hAnsi="宋体" w:eastAsia="宋体" w:cs="Times New Roman"/>
                <w:sz w:val="24"/>
                <w:szCs w:val="20"/>
                <w:highlight w:val="none"/>
              </w:rPr>
              <w:t>：00</w:t>
            </w:r>
          </w:p>
          <w:p>
            <w:pPr>
              <w:spacing w:line="360" w:lineRule="auto"/>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地点：</w:t>
            </w:r>
            <w:r>
              <w:rPr>
                <w:rFonts w:hint="eastAsia" w:ascii="宋体" w:hAnsi="宋体" w:eastAsia="宋体" w:cs="Times New Roman"/>
                <w:sz w:val="24"/>
                <w:szCs w:val="20"/>
                <w:highlight w:val="none"/>
                <w:lang w:val="en-US" w:eastAsia="zh-CN"/>
              </w:rPr>
              <w:t>待通知</w:t>
            </w:r>
          </w:p>
          <w:p>
            <w:pPr>
              <w:spacing w:line="360" w:lineRule="auto"/>
              <w:rPr>
                <w:rFonts w:hint="default" w:ascii="宋体" w:hAnsi="宋体" w:eastAsia="宋体" w:cs="Times New Roman"/>
                <w:sz w:val="24"/>
                <w:szCs w:val="20"/>
                <w:highlight w:val="none"/>
                <w:lang w:val="en-US"/>
              </w:rPr>
            </w:pPr>
            <w:r>
              <w:rPr>
                <w:rFonts w:hint="eastAsia" w:ascii="宋体" w:hAnsi="宋体" w:eastAsia="宋体" w:cs="Times New Roman"/>
                <w:sz w:val="24"/>
                <w:szCs w:val="20"/>
                <w:highlight w:val="none"/>
              </w:rPr>
              <w:t>地址：</w:t>
            </w:r>
            <w:r>
              <w:rPr>
                <w:rFonts w:hint="eastAsia" w:ascii="宋体" w:hAnsi="宋体" w:eastAsia="宋体" w:cs="Times New Roman"/>
                <w:sz w:val="24"/>
                <w:szCs w:val="20"/>
                <w:highlight w:val="none"/>
                <w:lang w:val="en-US" w:eastAsia="zh-CN"/>
              </w:rPr>
              <w:t>上海市嘉定区荣联路68号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14）医院通过“信用中国”网站（www.creditchina.gov.cn）</w:t>
            </w:r>
            <w:r>
              <w:rPr>
                <w:rFonts w:hint="eastAsia" w:ascii="宋体" w:hAnsi="宋体" w:eastAsia="宋体" w:cs="Times New Roman"/>
                <w:sz w:val="24"/>
                <w:szCs w:val="20"/>
                <w:highlight w:val="none"/>
                <w:lang w:val="en-US" w:eastAsia="zh-CN"/>
              </w:rPr>
              <w:t>以及</w:t>
            </w:r>
            <w:r>
              <w:rPr>
                <w:rFonts w:hint="eastAsia" w:ascii="宋体" w:hAnsi="宋体" w:eastAsia="宋体" w:cs="Times New Roman"/>
                <w:sz w:val="24"/>
                <w:szCs w:val="20"/>
                <w:highlight w:val="none"/>
              </w:rPr>
              <w:t>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10.3</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本招标文件所涵盖的货物必须按</w:t>
            </w:r>
            <w:r>
              <w:rPr>
                <w:rFonts w:hint="eastAsia" w:ascii="宋体" w:hAnsi="宋体" w:eastAsia="宋体" w:cs="Times New Roman"/>
                <w:sz w:val="24"/>
                <w:szCs w:val="20"/>
                <w:highlight w:val="none"/>
                <w:lang w:eastAsia="zh-CN"/>
              </w:rPr>
              <w:t>第四章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highlight w:val="none"/>
              </w:rPr>
              <w:t>0.</w:t>
            </w:r>
            <w:r>
              <w:rPr>
                <w:rFonts w:hint="eastAsia" w:ascii="宋体" w:hAnsi="宋体" w:eastAsia="宋体" w:cs="Times New Roman"/>
                <w:sz w:val="24"/>
                <w:szCs w:val="20"/>
                <w:highlight w:val="none"/>
              </w:rPr>
              <w:t>5</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3</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4</w:t>
            </w:r>
          </w:p>
        </w:tc>
        <w:tc>
          <w:tcPr>
            <w:tcW w:w="8366" w:type="dxa"/>
            <w:vAlign w:val="center"/>
          </w:tcPr>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（1）招标文件中加注“★”号的为重要条款（参数），对任一重要条款（参数）的偏离，其投标将被否决</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（2）招标文件中未加注“★”号的为一般条款（参数），高于标准的，不考虑降低评标价，低于标准的，评标价将增加该设备投标价格的百分之壹（1</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lang w:val="en-US" w:eastAsia="zh-CN"/>
              </w:rPr>
              <w:t>12</w:t>
            </w:r>
          </w:p>
        </w:tc>
        <w:tc>
          <w:tcPr>
            <w:tcW w:w="8366" w:type="dxa"/>
            <w:vAlign w:val="center"/>
          </w:tcPr>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中标人的确定：</w:t>
            </w:r>
            <w:r>
              <w:rPr>
                <w:rFonts w:hint="eastAsia" w:ascii="宋体" w:hAnsi="宋体" w:eastAsia="宋体" w:cs="Times New Roman"/>
                <w:sz w:val="24"/>
                <w:szCs w:val="20"/>
                <w:highlight w:val="none"/>
                <w:lang w:val="en-US" w:eastAsia="zh-CN"/>
              </w:rPr>
              <w:t>均价最低</w:t>
            </w:r>
            <w:r>
              <w:rPr>
                <w:rFonts w:hint="eastAsia" w:ascii="宋体" w:hAnsi="宋体" w:eastAsia="宋体" w:cs="Times New Roman"/>
                <w:sz w:val="24"/>
                <w:szCs w:val="20"/>
                <w:highlight w:val="none"/>
              </w:rPr>
              <w:t>的</w:t>
            </w:r>
            <w:r>
              <w:rPr>
                <w:rFonts w:hint="eastAsia" w:ascii="宋体" w:hAnsi="宋体" w:eastAsia="宋体" w:cs="Times New Roman"/>
                <w:sz w:val="24"/>
                <w:szCs w:val="20"/>
                <w:highlight w:val="none"/>
                <w:lang w:val="en-US" w:eastAsia="zh-CN"/>
              </w:rPr>
              <w:t>投标</w:t>
            </w:r>
            <w:r>
              <w:rPr>
                <w:rFonts w:hint="eastAsia" w:ascii="宋体" w:hAnsi="宋体" w:eastAsia="宋体" w:cs="Times New Roman"/>
                <w:sz w:val="24"/>
                <w:szCs w:val="20"/>
                <w:highlight w:val="none"/>
              </w:rPr>
              <w:t>人为中标人。</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投标货物总价÷货物个数=均价</w:t>
            </w:r>
            <w:r>
              <w:rPr>
                <w:rFonts w:hint="eastAsia" w:ascii="宋体" w:hAnsi="宋体" w:eastAsia="宋体" w:cs="Times New Roman"/>
                <w:sz w:val="24"/>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★增1</w:t>
            </w:r>
          </w:p>
        </w:tc>
        <w:tc>
          <w:tcPr>
            <w:tcW w:w="8366" w:type="dxa"/>
            <w:vAlign w:val="center"/>
          </w:tcPr>
          <w:p>
            <w:pPr>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关于原产于特定国家（地区）特定进口商品加征关税的规定</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（1）投标产品为原产于特定国家（地区）的特定商品被中国政府实施加征关税等措施且加征关税在实际进口时未被核准市场化采购排除的，加征的关税以及由此增加的增值税等额外税费由中标人承担</w:t>
            </w:r>
            <w:r>
              <w:rPr>
                <w:rFonts w:hint="eastAsia" w:ascii="宋体" w:hAnsi="宋体" w:eastAsia="宋体" w:cs="Times New Roman"/>
                <w:sz w:val="24"/>
                <w:szCs w:val="24"/>
                <w:highlight w:val="none"/>
                <w:lang w:eastAsia="zh-CN"/>
              </w:rPr>
              <w:t>。</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（2）投标人需在投标时出具承担加征关税以及由此增加的增值税等额外税费的承诺书</w:t>
            </w:r>
            <w:r>
              <w:rPr>
                <w:rFonts w:hint="eastAsia" w:ascii="宋体" w:hAnsi="宋体" w:eastAsia="宋体" w:cs="Times New Roman"/>
                <w:sz w:val="24"/>
                <w:szCs w:val="24"/>
                <w:highlight w:val="none"/>
                <w:lang w:eastAsia="zh-CN"/>
              </w:rPr>
              <w:t>。</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9066360"/>
      <w:bookmarkStart w:id="12" w:name="_Toc11326094"/>
      <w:r>
        <w:rPr>
          <w:rFonts w:hint="eastAsia" w:ascii="宋体" w:hAnsi="宋体" w:eastAsia="宋体" w:cs="Times New Roman"/>
          <w:b/>
          <w:sz w:val="36"/>
          <w:szCs w:val="20"/>
        </w:rPr>
        <w:t>第三章 合同专用条款</w:t>
      </w:r>
      <w:bookmarkEnd w:id="11"/>
      <w:bookmarkEnd w:id="12"/>
    </w:p>
    <w:tbl>
      <w:tblPr>
        <w:tblStyle w:val="32"/>
        <w:tblW w:w="9357"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584"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w:t>
            </w:r>
            <w:r>
              <w:rPr>
                <w:rFonts w:hint="eastAsia" w:ascii="宋体" w:hAnsi="宋体" w:eastAsia="宋体" w:cs="Times New Roman"/>
                <w:sz w:val="24"/>
                <w:szCs w:val="24"/>
                <w:lang w:val="en-US" w:eastAsia="zh-CN"/>
              </w:rPr>
              <w:t>嘉定区荣联路68</w:t>
            </w:r>
            <w:r>
              <w:rPr>
                <w:rFonts w:hint="eastAsia" w:ascii="宋体" w:hAnsi="宋体" w:eastAsia="宋体" w:cs="Times New Roman"/>
                <w:sz w:val="24"/>
                <w:szCs w:val="20"/>
              </w:rPr>
              <w:t>号</w:t>
            </w:r>
          </w:p>
          <w:p>
            <w:pPr>
              <w:spacing w:line="360" w:lineRule="auto"/>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hint="eastAsia" w:ascii="宋体" w:hAnsi="宋体" w:eastAsia="宋体" w:cs="Times New Roman"/>
                <w:sz w:val="24"/>
                <w:szCs w:val="20"/>
                <w:lang w:eastAsia="zh-CN"/>
              </w:rPr>
              <w:t>20</w:t>
            </w:r>
            <w:r>
              <w:rPr>
                <w:rFonts w:hint="eastAsia" w:ascii="宋体" w:hAnsi="宋体" w:eastAsia="宋体" w:cs="Times New Roman"/>
                <w:sz w:val="24"/>
                <w:szCs w:val="20"/>
                <w:lang w:val="en-US" w:eastAsia="zh-CN"/>
              </w:rPr>
              <w:t>1822</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lang w:val="en-US" w:eastAsia="zh-CN"/>
              </w:rPr>
              <w:t>52</w:t>
            </w:r>
            <w:r>
              <w:rPr>
                <w:rFonts w:hint="eastAsia" w:ascii="宋体" w:hAnsi="宋体" w:eastAsia="宋体" w:cs="Times New Roman"/>
                <w:sz w:val="24"/>
                <w:szCs w:val="20"/>
              </w:rPr>
              <w:t>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陆海玲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8584" w:type="dxa"/>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73" w:type="dxa"/>
          </w:tcPr>
          <w:p>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1.</w:t>
            </w:r>
            <w:r>
              <w:rPr>
                <w:rFonts w:hint="eastAsia" w:ascii="宋体" w:hAnsi="宋体" w:eastAsia="宋体" w:cs="Times New Roman"/>
                <w:sz w:val="24"/>
                <w:szCs w:val="20"/>
                <w:lang w:val="en-US" w:eastAsia="zh-CN"/>
              </w:rPr>
              <w:t>4</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卖方应按产品出厂标准供应的货物质保期内运行。若对备件有具体要求，详见第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8584" w:type="dxa"/>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w:t>
            </w: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90天</w:t>
            </w:r>
            <w:r>
              <w:rPr>
                <w:rFonts w:hint="eastAsia" w:ascii="宋体" w:hAnsi="宋体" w:eastAsia="宋体" w:cs="宋体"/>
                <w:b w:val="0"/>
                <w:bCs w:val="0"/>
                <w:sz w:val="24"/>
                <w:szCs w:val="24"/>
              </w:rPr>
              <w:t>内买方支付货款的100%</w:t>
            </w:r>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hint="eastAsia" w:ascii="宋体" w:hAnsi="宋体" w:eastAsia="宋体" w:cs="Times New Roman"/>
                <w:sz w:val="24"/>
                <w:szCs w:val="20"/>
                <w:lang w:eastAsia="zh-CN"/>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lang w:val="en-US" w:eastAsia="zh-CN"/>
              </w:rPr>
              <w:t>2</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tcPr>
          <w:p>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2.</w:t>
            </w:r>
            <w:r>
              <w:rPr>
                <w:rFonts w:hint="eastAsia" w:ascii="宋体" w:hAnsi="宋体" w:eastAsia="宋体" w:cs="Times New Roman"/>
                <w:sz w:val="24"/>
                <w:szCs w:val="20"/>
                <w:lang w:val="en-US" w:eastAsia="zh-CN"/>
              </w:rPr>
              <w:t>3</w:t>
            </w:r>
          </w:p>
        </w:tc>
        <w:tc>
          <w:tcPr>
            <w:tcW w:w="8584" w:type="dxa"/>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73" w:type="dxa"/>
          </w:tcPr>
          <w:p>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2.</w:t>
            </w:r>
            <w:r>
              <w:rPr>
                <w:rFonts w:hint="eastAsia" w:ascii="宋体" w:hAnsi="宋体" w:eastAsia="宋体" w:cs="Times New Roman"/>
                <w:sz w:val="24"/>
                <w:szCs w:val="20"/>
                <w:lang w:val="en-US" w:eastAsia="zh-CN"/>
              </w:rPr>
              <w:t>4</w:t>
            </w:r>
          </w:p>
        </w:tc>
        <w:tc>
          <w:tcPr>
            <w:tcW w:w="8584" w:type="dxa"/>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pgBorders>
            <w:top w:val="none" w:sz="0" w:space="0"/>
            <w:left w:val="none" w:sz="0" w:space="0"/>
            <w:bottom w:val="none" w:sz="0" w:space="0"/>
            <w:right w:val="none" w:sz="0" w:space="0"/>
          </w:pgBorders>
          <w:cols w:space="425" w:num="1"/>
          <w:docGrid w:type="linesAndChars" w:linePitch="312" w:charSpace="0"/>
        </w:sectPr>
      </w:pPr>
    </w:p>
    <w:p>
      <w:pPr>
        <w:keepNext/>
        <w:keepLines/>
        <w:numPr>
          <w:ilvl w:val="0"/>
          <w:numId w:val="3"/>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11326095"/>
      <w:bookmarkStart w:id="14" w:name="_Toc9066361"/>
      <w:r>
        <w:rPr>
          <w:rFonts w:hint="eastAsia" w:ascii="宋体" w:hAnsi="宋体" w:eastAsia="宋体" w:cs="Times New Roman"/>
          <w:b/>
          <w:sz w:val="36"/>
          <w:szCs w:val="20"/>
          <w:highlight w:val="none"/>
        </w:rPr>
        <w:t>货物需求一览表及技术规格</w:t>
      </w:r>
      <w:bookmarkEnd w:id="13"/>
      <w:bookmarkEnd w:id="14"/>
    </w:p>
    <w:p>
      <w:pPr>
        <w:pStyle w:val="56"/>
        <w:numPr>
          <w:ilvl w:val="0"/>
          <w:numId w:val="0"/>
        </w:numPr>
        <w:spacing w:line="360" w:lineRule="auto"/>
        <w:ind w:leftChars="0"/>
        <w:rPr>
          <w:rFonts w:hint="eastAsia" w:ascii="宋体" w:hAnsi="宋体" w:eastAsia="宋体" w:cs="宋体"/>
          <w:b w:val="0"/>
          <w:bCs w:val="0"/>
          <w:sz w:val="24"/>
          <w:szCs w:val="24"/>
          <w:lang w:val="en-US" w:eastAsia="zh-CN"/>
        </w:rPr>
      </w:pPr>
      <w:bookmarkStart w:id="15" w:name="_Toc11326096"/>
      <w:r>
        <w:rPr>
          <w:rFonts w:hint="eastAsia" w:ascii="宋体" w:hAnsi="宋体" w:eastAsia="宋体" w:cs="宋体"/>
          <w:b w:val="0"/>
          <w:bCs w:val="0"/>
          <w:sz w:val="24"/>
          <w:szCs w:val="24"/>
          <w:lang w:val="en-US" w:eastAsia="zh-CN"/>
        </w:rPr>
        <w:t>包件一：</w:t>
      </w:r>
    </w:p>
    <w:p>
      <w:pPr>
        <w:pStyle w:val="56"/>
        <w:numPr>
          <w:ilvl w:val="0"/>
          <w:numId w:val="4"/>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名称：人乳头瘤病毒基因分型（23型）检测试剂盒</w:t>
      </w:r>
    </w:p>
    <w:p>
      <w:pPr>
        <w:pStyle w:val="56"/>
        <w:numPr>
          <w:ilvl w:val="0"/>
          <w:numId w:val="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6"/>
        <w:numPr>
          <w:ilvl w:val="0"/>
          <w:numId w:val="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6"/>
        <w:numPr>
          <w:ilvl w:val="0"/>
          <w:numId w:val="4"/>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6"/>
        <w:widowControl w:val="0"/>
        <w:numPr>
          <w:ilvl w:val="0"/>
          <w:numId w:val="4"/>
        </w:numPr>
        <w:spacing w:line="360" w:lineRule="auto"/>
        <w:ind w:left="-420" w:leftChars="0" w:firstLine="420" w:firstLineChars="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技术指标要求</w:t>
      </w:r>
      <w:r>
        <w:rPr>
          <w:rFonts w:hint="eastAsia" w:ascii="宋体" w:hAnsi="宋体" w:eastAsia="宋体" w:cs="宋体"/>
          <w:b w:val="0"/>
          <w:bCs w:val="0"/>
          <w:sz w:val="24"/>
          <w:szCs w:val="24"/>
          <w:lang w:eastAsia="zh-CN"/>
        </w:rPr>
        <w:t>：</w:t>
      </w:r>
    </w:p>
    <w:p>
      <w:pPr>
        <w:numPr>
          <w:ilvl w:val="0"/>
          <w:numId w:val="5"/>
        </w:num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highlight w:val="none"/>
        </w:rPr>
        <w:t>★投标人需</w:t>
      </w:r>
      <w:r>
        <w:rPr>
          <w:rFonts w:hint="eastAsia" w:ascii="宋体" w:hAnsi="宋体" w:eastAsia="宋体" w:cs="宋体"/>
          <w:b w:val="0"/>
          <w:bCs w:val="0"/>
          <w:sz w:val="24"/>
          <w:szCs w:val="24"/>
        </w:rPr>
        <w:t>响应医院SPD项目相关要求,并与上药医疗供应链管理(上海)有限公司签署相关SPD协议</w:t>
      </w:r>
      <w:r>
        <w:rPr>
          <w:rFonts w:hint="eastAsia" w:ascii="宋体" w:hAnsi="宋体" w:eastAsia="宋体" w:cs="宋体"/>
          <w:b w:val="0"/>
          <w:bCs w:val="0"/>
          <w:sz w:val="24"/>
          <w:szCs w:val="24"/>
          <w:lang w:eastAsia="zh-CN"/>
        </w:rPr>
        <w:t>。</w:t>
      </w:r>
    </w:p>
    <w:tbl>
      <w:tblPr>
        <w:tblStyle w:val="32"/>
        <w:tblW w:w="95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13"/>
        <w:gridCol w:w="1275"/>
        <w:gridCol w:w="7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44" w:hRule="atLeast"/>
          <w:jc w:val="center"/>
        </w:trPr>
        <w:tc>
          <w:tcPr>
            <w:tcW w:w="813" w:type="dxa"/>
            <w:tcMar>
              <w:top w:w="0" w:type="dxa"/>
              <w:left w:w="105" w:type="dxa"/>
              <w:bottom w:w="0" w:type="dxa"/>
              <w:right w:w="105" w:type="dxa"/>
            </w:tcMar>
            <w:vAlign w:val="center"/>
          </w:tcPr>
          <w:p>
            <w:pPr>
              <w:pStyle w:val="29"/>
              <w:widowControl/>
              <w:spacing w:before="240" w:beforeAutospacing="0" w:after="150" w:afterAutospacing="0"/>
              <w:jc w:val="both"/>
              <w:rPr>
                <w:rFonts w:hint="eastAsia" w:ascii="宋体" w:hAnsi="宋体" w:eastAsia="宋体" w:cs="宋体"/>
                <w:sz w:val="21"/>
                <w:szCs w:val="20"/>
              </w:rPr>
            </w:pPr>
            <w:r>
              <w:rPr>
                <w:rStyle w:val="35"/>
                <w:rFonts w:hint="eastAsia" w:ascii="宋体" w:hAnsi="宋体" w:eastAsia="宋体" w:cs="宋体"/>
                <w:b w:val="0"/>
                <w:bCs/>
                <w:sz w:val="21"/>
                <w:szCs w:val="20"/>
              </w:rPr>
              <w:t>序号</w:t>
            </w:r>
          </w:p>
        </w:tc>
        <w:tc>
          <w:tcPr>
            <w:tcW w:w="1275" w:type="dxa"/>
            <w:tcMar>
              <w:top w:w="0" w:type="dxa"/>
              <w:left w:w="105" w:type="dxa"/>
              <w:bottom w:w="0" w:type="dxa"/>
              <w:right w:w="105" w:type="dxa"/>
            </w:tcMar>
            <w:vAlign w:val="center"/>
          </w:tcPr>
          <w:p>
            <w:pPr>
              <w:pStyle w:val="29"/>
              <w:widowControl/>
              <w:spacing w:before="240" w:beforeAutospacing="0" w:after="150" w:afterAutospacing="0"/>
              <w:jc w:val="both"/>
              <w:rPr>
                <w:rFonts w:hint="eastAsia" w:ascii="宋体" w:hAnsi="宋体" w:eastAsia="宋体" w:cs="宋体"/>
                <w:sz w:val="21"/>
                <w:szCs w:val="20"/>
              </w:rPr>
            </w:pPr>
            <w:r>
              <w:rPr>
                <w:rStyle w:val="35"/>
                <w:rFonts w:hint="eastAsia" w:ascii="宋体" w:hAnsi="宋体" w:eastAsia="宋体" w:cs="宋体"/>
                <w:b w:val="0"/>
                <w:bCs/>
                <w:sz w:val="21"/>
                <w:szCs w:val="20"/>
              </w:rPr>
              <w:t>内容</w:t>
            </w:r>
          </w:p>
        </w:tc>
        <w:tc>
          <w:tcPr>
            <w:tcW w:w="7467" w:type="dxa"/>
            <w:tcMar>
              <w:top w:w="0" w:type="dxa"/>
              <w:left w:w="105" w:type="dxa"/>
              <w:bottom w:w="0" w:type="dxa"/>
              <w:right w:w="105" w:type="dxa"/>
            </w:tcMar>
            <w:vAlign w:val="center"/>
          </w:tcPr>
          <w:p>
            <w:pPr>
              <w:pStyle w:val="29"/>
              <w:widowControl/>
              <w:spacing w:before="240" w:beforeAutospacing="0" w:after="150" w:afterAutospacing="0"/>
              <w:jc w:val="both"/>
              <w:rPr>
                <w:rFonts w:hint="eastAsia" w:ascii="宋体" w:hAnsi="宋体" w:eastAsia="宋体" w:cs="宋体"/>
                <w:sz w:val="21"/>
                <w:szCs w:val="20"/>
              </w:rPr>
            </w:pPr>
            <w:r>
              <w:rPr>
                <w:rStyle w:val="35"/>
                <w:rFonts w:hint="eastAsia" w:ascii="宋体" w:hAnsi="宋体" w:eastAsia="宋体" w:cs="宋体"/>
                <w:b w:val="0"/>
                <w:bCs/>
                <w:sz w:val="21"/>
                <w:szCs w:val="20"/>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66" w:hRule="atLeast"/>
          <w:jc w:val="center"/>
        </w:trPr>
        <w:tc>
          <w:tcPr>
            <w:tcW w:w="813" w:type="dxa"/>
            <w:tcMar>
              <w:top w:w="0" w:type="dxa"/>
              <w:left w:w="105" w:type="dxa"/>
              <w:bottom w:w="0" w:type="dxa"/>
              <w:right w:w="105" w:type="dxa"/>
            </w:tcMar>
            <w:vAlign w:val="center"/>
          </w:tcPr>
          <w:p>
            <w:pPr>
              <w:pStyle w:val="29"/>
              <w:widowControl/>
              <w:spacing w:before="240" w:beforeAutospacing="0" w:after="150" w:afterAutospacing="0"/>
              <w:jc w:val="both"/>
              <w:rPr>
                <w:rFonts w:hint="eastAsia" w:ascii="宋体" w:hAnsi="宋体" w:eastAsia="宋体" w:cs="宋体"/>
                <w:sz w:val="21"/>
                <w:szCs w:val="20"/>
              </w:rPr>
            </w:pPr>
            <w:r>
              <w:rPr>
                <w:rFonts w:hint="eastAsia" w:ascii="宋体" w:hAnsi="宋体" w:eastAsia="宋体" w:cs="宋体"/>
                <w:sz w:val="21"/>
                <w:szCs w:val="20"/>
              </w:rPr>
              <w:t>1</w:t>
            </w:r>
          </w:p>
        </w:tc>
        <w:tc>
          <w:tcPr>
            <w:tcW w:w="1275" w:type="dxa"/>
            <w:tcMar>
              <w:top w:w="0" w:type="dxa"/>
              <w:left w:w="105" w:type="dxa"/>
              <w:bottom w:w="0" w:type="dxa"/>
              <w:right w:w="105" w:type="dxa"/>
            </w:tcMar>
            <w:vAlign w:val="center"/>
          </w:tcPr>
          <w:p>
            <w:pPr>
              <w:pStyle w:val="29"/>
              <w:widowControl/>
              <w:spacing w:before="240" w:beforeAutospacing="0" w:after="150" w:afterAutospacing="0"/>
              <w:jc w:val="both"/>
              <w:rPr>
                <w:rFonts w:hint="eastAsia" w:ascii="宋体" w:hAnsi="宋体" w:eastAsia="宋体" w:cs="宋体"/>
                <w:sz w:val="21"/>
                <w:szCs w:val="20"/>
              </w:rPr>
            </w:pPr>
            <w:r>
              <w:rPr>
                <w:rFonts w:hint="eastAsia" w:ascii="宋体" w:hAnsi="宋体" w:eastAsia="宋体" w:cs="宋体"/>
                <w:sz w:val="21"/>
                <w:szCs w:val="20"/>
              </w:rPr>
              <w:t>注册证</w:t>
            </w:r>
          </w:p>
        </w:tc>
        <w:tc>
          <w:tcPr>
            <w:tcW w:w="7467" w:type="dxa"/>
            <w:tcMar>
              <w:top w:w="0" w:type="dxa"/>
              <w:left w:w="105" w:type="dxa"/>
              <w:bottom w:w="0" w:type="dxa"/>
              <w:right w:w="105" w:type="dxa"/>
            </w:tcMar>
            <w:vAlign w:val="center"/>
          </w:tcPr>
          <w:p>
            <w:pPr>
              <w:pStyle w:val="29"/>
              <w:widowControl/>
              <w:spacing w:before="240" w:beforeAutospacing="0" w:after="150" w:afterAutospacing="0"/>
              <w:jc w:val="both"/>
              <w:rPr>
                <w:rFonts w:hint="eastAsia" w:ascii="宋体" w:hAnsi="宋体" w:eastAsia="宋体" w:cs="宋体"/>
                <w:sz w:val="21"/>
                <w:szCs w:val="20"/>
              </w:rPr>
            </w:pPr>
            <w:r>
              <w:rPr>
                <w:rFonts w:hint="eastAsia" w:ascii="宋体" w:hAnsi="宋体" w:eastAsia="宋体" w:cs="宋体"/>
                <w:sz w:val="21"/>
                <w:szCs w:val="20"/>
              </w:rPr>
              <w:t>HPV检测产品及配套细胞保存液、采样器全套均</w:t>
            </w:r>
            <w:r>
              <w:rPr>
                <w:rFonts w:hint="eastAsia" w:ascii="宋体" w:hAnsi="宋体" w:eastAsia="宋体" w:cs="宋体"/>
                <w:sz w:val="21"/>
                <w:szCs w:val="20"/>
                <w:lang w:val="en-US" w:eastAsia="zh-CN"/>
              </w:rPr>
              <w:t>需</w:t>
            </w:r>
            <w:r>
              <w:rPr>
                <w:rFonts w:hint="eastAsia" w:ascii="宋体" w:hAnsi="宋体" w:eastAsia="宋体" w:cs="宋体"/>
                <w:sz w:val="21"/>
                <w:szCs w:val="20"/>
              </w:rPr>
              <w:t>CFDA注册证。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09" w:hRule="atLeast"/>
          <w:jc w:val="center"/>
        </w:trPr>
        <w:tc>
          <w:tcPr>
            <w:tcW w:w="813" w:type="dxa"/>
            <w:tcMar>
              <w:top w:w="0" w:type="dxa"/>
              <w:left w:w="105" w:type="dxa"/>
              <w:bottom w:w="0" w:type="dxa"/>
              <w:right w:w="105" w:type="dxa"/>
            </w:tcMar>
            <w:vAlign w:val="center"/>
          </w:tcPr>
          <w:p>
            <w:pPr>
              <w:pStyle w:val="29"/>
              <w:widowControl/>
              <w:spacing w:before="240" w:beforeAutospacing="0" w:after="150" w:afterAutospacing="0"/>
              <w:jc w:val="both"/>
              <w:rPr>
                <w:rFonts w:hint="eastAsia" w:ascii="宋体" w:hAnsi="宋体" w:eastAsia="宋体" w:cs="宋体"/>
                <w:sz w:val="21"/>
                <w:szCs w:val="20"/>
              </w:rPr>
            </w:pPr>
            <w:r>
              <w:rPr>
                <w:rFonts w:hint="eastAsia" w:ascii="宋体" w:hAnsi="宋体" w:eastAsia="宋体" w:cs="宋体"/>
                <w:sz w:val="21"/>
                <w:szCs w:val="20"/>
              </w:rPr>
              <w:t>2</w:t>
            </w:r>
          </w:p>
        </w:tc>
        <w:tc>
          <w:tcPr>
            <w:tcW w:w="1275" w:type="dxa"/>
            <w:tcMar>
              <w:top w:w="0" w:type="dxa"/>
              <w:left w:w="105" w:type="dxa"/>
              <w:bottom w:w="0" w:type="dxa"/>
              <w:right w:w="105" w:type="dxa"/>
            </w:tcMar>
            <w:vAlign w:val="center"/>
          </w:tcPr>
          <w:p>
            <w:pPr>
              <w:pStyle w:val="29"/>
              <w:widowControl/>
              <w:spacing w:before="240" w:beforeAutospacing="0" w:after="150" w:afterAutospacing="0"/>
              <w:jc w:val="both"/>
              <w:rPr>
                <w:rFonts w:hint="eastAsia" w:ascii="宋体" w:hAnsi="宋体" w:eastAsia="宋体" w:cs="宋体"/>
                <w:sz w:val="21"/>
                <w:szCs w:val="20"/>
              </w:rPr>
            </w:pPr>
            <w:r>
              <w:rPr>
                <w:rFonts w:hint="eastAsia" w:ascii="宋体" w:hAnsi="宋体" w:eastAsia="宋体" w:cs="宋体"/>
                <w:sz w:val="21"/>
                <w:szCs w:val="20"/>
              </w:rPr>
              <w:t>检测方法</w:t>
            </w:r>
          </w:p>
        </w:tc>
        <w:tc>
          <w:tcPr>
            <w:tcW w:w="7467" w:type="dxa"/>
            <w:tcMar>
              <w:top w:w="0" w:type="dxa"/>
              <w:left w:w="105" w:type="dxa"/>
              <w:bottom w:w="0" w:type="dxa"/>
              <w:right w:w="105" w:type="dxa"/>
            </w:tcMar>
            <w:vAlign w:val="center"/>
          </w:tcPr>
          <w:p>
            <w:pPr>
              <w:pStyle w:val="29"/>
              <w:widowControl/>
              <w:spacing w:before="240" w:beforeAutospacing="0" w:after="150" w:afterAutospacing="0"/>
              <w:jc w:val="both"/>
              <w:rPr>
                <w:rFonts w:hint="eastAsia" w:ascii="宋体" w:hAnsi="宋体" w:eastAsia="宋体" w:cs="宋体"/>
                <w:sz w:val="21"/>
                <w:szCs w:val="20"/>
              </w:rPr>
            </w:pPr>
            <w:r>
              <w:rPr>
                <w:rFonts w:hint="eastAsia" w:ascii="宋体" w:hAnsi="宋体" w:eastAsia="宋体" w:cs="宋体"/>
                <w:sz w:val="21"/>
                <w:szCs w:val="20"/>
              </w:rPr>
              <w:t>HPV检测试剂采用PCR-反向点杂交技术或类似方法学，定性检测HPV基因型。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68" w:hRule="atLeast"/>
          <w:jc w:val="center"/>
        </w:trPr>
        <w:tc>
          <w:tcPr>
            <w:tcW w:w="813" w:type="dxa"/>
            <w:tcMar>
              <w:top w:w="0" w:type="dxa"/>
              <w:left w:w="105" w:type="dxa"/>
              <w:bottom w:w="0" w:type="dxa"/>
              <w:right w:w="105" w:type="dxa"/>
            </w:tcMar>
            <w:vAlign w:val="center"/>
          </w:tcPr>
          <w:p>
            <w:pPr>
              <w:pStyle w:val="29"/>
              <w:widowControl/>
              <w:spacing w:before="240" w:beforeAutospacing="0" w:after="150" w:afterAutospacing="0"/>
              <w:jc w:val="both"/>
              <w:rPr>
                <w:rFonts w:hint="eastAsia" w:ascii="宋体" w:hAnsi="宋体" w:eastAsia="宋体" w:cs="宋体"/>
                <w:sz w:val="21"/>
                <w:szCs w:val="20"/>
              </w:rPr>
            </w:pPr>
            <w:r>
              <w:rPr>
                <w:rFonts w:hint="eastAsia" w:ascii="宋体" w:hAnsi="宋体" w:eastAsia="宋体" w:cs="宋体"/>
                <w:sz w:val="21"/>
                <w:szCs w:val="20"/>
              </w:rPr>
              <w:t>3</w:t>
            </w:r>
          </w:p>
        </w:tc>
        <w:tc>
          <w:tcPr>
            <w:tcW w:w="1275" w:type="dxa"/>
            <w:tcMar>
              <w:top w:w="0" w:type="dxa"/>
              <w:left w:w="105" w:type="dxa"/>
              <w:bottom w:w="0" w:type="dxa"/>
              <w:right w:w="105" w:type="dxa"/>
            </w:tcMar>
            <w:vAlign w:val="center"/>
          </w:tcPr>
          <w:p>
            <w:pPr>
              <w:pStyle w:val="29"/>
              <w:widowControl/>
              <w:spacing w:before="240" w:beforeAutospacing="0" w:after="150" w:afterAutospacing="0"/>
              <w:jc w:val="both"/>
              <w:rPr>
                <w:rFonts w:hint="eastAsia" w:ascii="宋体" w:hAnsi="宋体" w:eastAsia="宋体" w:cs="宋体"/>
                <w:sz w:val="21"/>
                <w:szCs w:val="20"/>
              </w:rPr>
            </w:pPr>
            <w:r>
              <w:rPr>
                <w:rFonts w:hint="eastAsia" w:ascii="宋体" w:hAnsi="宋体" w:eastAsia="宋体" w:cs="宋体"/>
                <w:sz w:val="21"/>
                <w:szCs w:val="20"/>
              </w:rPr>
              <w:t>检测范围与分型情况</w:t>
            </w:r>
          </w:p>
        </w:tc>
        <w:tc>
          <w:tcPr>
            <w:tcW w:w="7467" w:type="dxa"/>
            <w:tcMar>
              <w:top w:w="0" w:type="dxa"/>
              <w:left w:w="105" w:type="dxa"/>
              <w:bottom w:w="0" w:type="dxa"/>
              <w:right w:w="105" w:type="dxa"/>
            </w:tcMar>
            <w:vAlign w:val="center"/>
          </w:tcPr>
          <w:p>
            <w:pPr>
              <w:pStyle w:val="29"/>
              <w:widowControl/>
              <w:spacing w:before="240" w:beforeAutospacing="0" w:after="150" w:afterAutospacing="0"/>
              <w:jc w:val="both"/>
              <w:rPr>
                <w:rFonts w:hint="eastAsia" w:ascii="宋体" w:hAnsi="宋体" w:eastAsia="宋体" w:cs="宋体"/>
                <w:sz w:val="21"/>
                <w:szCs w:val="20"/>
              </w:rPr>
            </w:pPr>
            <w:r>
              <w:rPr>
                <w:rFonts w:hint="eastAsia" w:ascii="宋体" w:hAnsi="宋体" w:eastAsia="宋体" w:cs="宋体"/>
                <w:sz w:val="21"/>
                <w:szCs w:val="20"/>
              </w:rPr>
              <w:t>至少能检测并明确分型17种高危HPV型别（16、18、31、33、35、39、45、51、52、53、56、58、59、66、68、73、82）及常见6种低危型别（6、11、42、43、81、83）。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48" w:hRule="atLeast"/>
          <w:jc w:val="center"/>
        </w:trPr>
        <w:tc>
          <w:tcPr>
            <w:tcW w:w="813" w:type="dxa"/>
            <w:tcMar>
              <w:top w:w="0" w:type="dxa"/>
              <w:left w:w="105" w:type="dxa"/>
              <w:bottom w:w="0" w:type="dxa"/>
              <w:right w:w="105" w:type="dxa"/>
            </w:tcMar>
            <w:vAlign w:val="center"/>
          </w:tcPr>
          <w:p>
            <w:pPr>
              <w:pStyle w:val="29"/>
              <w:widowControl/>
              <w:spacing w:before="240" w:beforeAutospacing="0" w:after="150" w:afterAutospacing="0"/>
              <w:jc w:val="both"/>
              <w:rPr>
                <w:rFonts w:hint="eastAsia" w:ascii="宋体" w:hAnsi="宋体" w:eastAsia="宋体" w:cs="宋体"/>
                <w:sz w:val="21"/>
                <w:szCs w:val="20"/>
              </w:rPr>
            </w:pPr>
            <w:r>
              <w:rPr>
                <w:rFonts w:hint="eastAsia" w:ascii="宋体" w:hAnsi="宋体" w:eastAsia="宋体" w:cs="宋体"/>
                <w:sz w:val="21"/>
                <w:szCs w:val="20"/>
              </w:rPr>
              <w:t>4</w:t>
            </w:r>
          </w:p>
        </w:tc>
        <w:tc>
          <w:tcPr>
            <w:tcW w:w="1275" w:type="dxa"/>
            <w:tcMar>
              <w:top w:w="0" w:type="dxa"/>
              <w:left w:w="105" w:type="dxa"/>
              <w:bottom w:w="0" w:type="dxa"/>
              <w:right w:w="105" w:type="dxa"/>
            </w:tcMar>
            <w:vAlign w:val="center"/>
          </w:tcPr>
          <w:p>
            <w:pPr>
              <w:pStyle w:val="29"/>
              <w:widowControl/>
              <w:spacing w:before="240" w:beforeAutospacing="0" w:after="150" w:afterAutospacing="0"/>
              <w:jc w:val="both"/>
              <w:rPr>
                <w:rFonts w:hint="eastAsia" w:ascii="宋体" w:hAnsi="宋体" w:eastAsia="宋体" w:cs="宋体"/>
                <w:sz w:val="21"/>
                <w:szCs w:val="20"/>
              </w:rPr>
            </w:pPr>
            <w:r>
              <w:rPr>
                <w:rFonts w:hint="eastAsia" w:ascii="宋体" w:hAnsi="宋体" w:eastAsia="宋体" w:cs="宋体"/>
                <w:sz w:val="21"/>
                <w:szCs w:val="20"/>
              </w:rPr>
              <w:t>产品组成</w:t>
            </w:r>
          </w:p>
        </w:tc>
        <w:tc>
          <w:tcPr>
            <w:tcW w:w="7467" w:type="dxa"/>
            <w:tcMar>
              <w:top w:w="0" w:type="dxa"/>
              <w:left w:w="105" w:type="dxa"/>
              <w:bottom w:w="0" w:type="dxa"/>
              <w:right w:w="105" w:type="dxa"/>
            </w:tcMar>
            <w:vAlign w:val="center"/>
          </w:tcPr>
          <w:p>
            <w:pPr>
              <w:pStyle w:val="29"/>
              <w:widowControl/>
              <w:spacing w:before="240" w:beforeAutospacing="0" w:after="150" w:afterAutospacing="0"/>
              <w:jc w:val="both"/>
              <w:rPr>
                <w:rFonts w:hint="eastAsia" w:ascii="宋体" w:hAnsi="宋体" w:eastAsia="宋体" w:cs="宋体"/>
                <w:sz w:val="21"/>
                <w:szCs w:val="20"/>
              </w:rPr>
            </w:pPr>
            <w:r>
              <w:rPr>
                <w:rFonts w:hint="eastAsia" w:ascii="宋体" w:hAnsi="宋体" w:eastAsia="宋体" w:cs="宋体"/>
                <w:sz w:val="21"/>
                <w:szCs w:val="20"/>
              </w:rPr>
              <w:t>试剂采用单管单人份规格，无需另外配制PCR反应液和分装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7" w:hRule="atLeast"/>
          <w:jc w:val="center"/>
        </w:trPr>
        <w:tc>
          <w:tcPr>
            <w:tcW w:w="813" w:type="dxa"/>
            <w:tcMar>
              <w:top w:w="0" w:type="dxa"/>
              <w:left w:w="105" w:type="dxa"/>
              <w:bottom w:w="0" w:type="dxa"/>
              <w:right w:w="105" w:type="dxa"/>
            </w:tcMar>
            <w:vAlign w:val="center"/>
          </w:tcPr>
          <w:p>
            <w:pPr>
              <w:pStyle w:val="29"/>
              <w:widowControl/>
              <w:spacing w:before="240" w:beforeAutospacing="0" w:after="150" w:afterAutospacing="0"/>
              <w:jc w:val="both"/>
              <w:rPr>
                <w:rFonts w:hint="eastAsia" w:ascii="宋体" w:hAnsi="宋体" w:eastAsia="宋体" w:cs="宋体"/>
                <w:sz w:val="21"/>
                <w:szCs w:val="20"/>
              </w:rPr>
            </w:pPr>
            <w:r>
              <w:rPr>
                <w:rFonts w:hint="eastAsia" w:ascii="宋体" w:hAnsi="宋体" w:eastAsia="宋体" w:cs="宋体"/>
                <w:sz w:val="21"/>
                <w:szCs w:val="20"/>
              </w:rPr>
              <w:t>5</w:t>
            </w:r>
          </w:p>
        </w:tc>
        <w:tc>
          <w:tcPr>
            <w:tcW w:w="1275" w:type="dxa"/>
            <w:tcMar>
              <w:top w:w="0" w:type="dxa"/>
              <w:left w:w="105" w:type="dxa"/>
              <w:bottom w:w="0" w:type="dxa"/>
              <w:right w:w="105" w:type="dxa"/>
            </w:tcMar>
            <w:vAlign w:val="center"/>
          </w:tcPr>
          <w:p>
            <w:pPr>
              <w:pStyle w:val="29"/>
              <w:widowControl/>
              <w:spacing w:before="240" w:beforeAutospacing="0" w:after="150" w:afterAutospacing="0"/>
              <w:jc w:val="both"/>
              <w:rPr>
                <w:rFonts w:hint="eastAsia" w:ascii="宋体" w:hAnsi="宋体" w:eastAsia="宋体" w:cs="宋体"/>
                <w:sz w:val="21"/>
                <w:szCs w:val="20"/>
              </w:rPr>
            </w:pPr>
            <w:r>
              <w:rPr>
                <w:rFonts w:hint="eastAsia" w:ascii="宋体" w:hAnsi="宋体" w:eastAsia="宋体" w:cs="宋体"/>
                <w:sz w:val="21"/>
                <w:szCs w:val="20"/>
              </w:rPr>
              <w:t>检测能力</w:t>
            </w:r>
          </w:p>
        </w:tc>
        <w:tc>
          <w:tcPr>
            <w:tcW w:w="7467" w:type="dxa"/>
            <w:tcMar>
              <w:top w:w="0" w:type="dxa"/>
              <w:left w:w="105" w:type="dxa"/>
              <w:bottom w:w="0" w:type="dxa"/>
              <w:right w:w="105" w:type="dxa"/>
            </w:tcMar>
            <w:vAlign w:val="center"/>
          </w:tcPr>
          <w:p>
            <w:pPr>
              <w:pStyle w:val="29"/>
              <w:widowControl/>
              <w:spacing w:before="240" w:beforeAutospacing="0" w:after="150" w:afterAutospacing="0"/>
              <w:jc w:val="both"/>
              <w:rPr>
                <w:rFonts w:hint="eastAsia" w:ascii="宋体" w:hAnsi="宋体" w:eastAsia="宋体" w:cs="宋体"/>
                <w:sz w:val="21"/>
                <w:szCs w:val="20"/>
              </w:rPr>
            </w:pPr>
            <w:r>
              <w:rPr>
                <w:rFonts w:hint="eastAsia" w:ascii="宋体" w:hAnsi="宋体" w:eastAsia="宋体" w:cs="宋体"/>
                <w:sz w:val="21"/>
                <w:szCs w:val="20"/>
              </w:rPr>
              <w:t>单次杂交实验可对不</w:t>
            </w:r>
            <w:r>
              <w:rPr>
                <w:rFonts w:hint="eastAsia" w:ascii="宋体" w:hAnsi="宋体" w:eastAsia="宋体" w:cs="宋体"/>
                <w:color w:val="auto"/>
                <w:sz w:val="21"/>
                <w:szCs w:val="20"/>
              </w:rPr>
              <w:t>少于</w:t>
            </w:r>
            <w:r>
              <w:rPr>
                <w:rFonts w:hint="eastAsia" w:ascii="宋体" w:hAnsi="宋体" w:eastAsia="宋体" w:cs="宋体"/>
                <w:color w:val="auto"/>
                <w:sz w:val="21"/>
                <w:szCs w:val="20"/>
                <w:lang w:val="en-US" w:eastAsia="zh-CN"/>
              </w:rPr>
              <w:t>90</w:t>
            </w:r>
            <w:r>
              <w:rPr>
                <w:rFonts w:hint="eastAsia" w:ascii="宋体" w:hAnsi="宋体" w:eastAsia="宋体" w:cs="宋体"/>
                <w:color w:val="auto"/>
                <w:sz w:val="21"/>
                <w:szCs w:val="20"/>
              </w:rPr>
              <w:t>个样</w:t>
            </w:r>
            <w:r>
              <w:rPr>
                <w:rFonts w:hint="eastAsia" w:ascii="宋体" w:hAnsi="宋体" w:eastAsia="宋体" w:cs="宋体"/>
                <w:sz w:val="21"/>
                <w:szCs w:val="20"/>
              </w:rPr>
              <w:t>本进行检测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36" w:hRule="atLeast"/>
          <w:jc w:val="center"/>
        </w:trPr>
        <w:tc>
          <w:tcPr>
            <w:tcW w:w="813" w:type="dxa"/>
            <w:tcMar>
              <w:top w:w="0" w:type="dxa"/>
              <w:left w:w="105" w:type="dxa"/>
              <w:bottom w:w="0" w:type="dxa"/>
              <w:right w:w="105" w:type="dxa"/>
            </w:tcMar>
            <w:vAlign w:val="center"/>
          </w:tcPr>
          <w:p>
            <w:pPr>
              <w:pStyle w:val="29"/>
              <w:widowControl/>
              <w:spacing w:before="240" w:beforeAutospacing="0" w:after="150" w:afterAutospacing="0"/>
              <w:jc w:val="both"/>
              <w:rPr>
                <w:rFonts w:hint="eastAsia" w:ascii="宋体" w:hAnsi="宋体" w:eastAsia="宋体" w:cs="宋体"/>
                <w:sz w:val="21"/>
                <w:szCs w:val="20"/>
              </w:rPr>
            </w:pPr>
            <w:r>
              <w:rPr>
                <w:rFonts w:hint="eastAsia" w:ascii="宋体" w:hAnsi="宋体" w:eastAsia="宋体" w:cs="宋体"/>
                <w:sz w:val="21"/>
                <w:szCs w:val="20"/>
              </w:rPr>
              <w:t>6</w:t>
            </w:r>
          </w:p>
        </w:tc>
        <w:tc>
          <w:tcPr>
            <w:tcW w:w="1275" w:type="dxa"/>
            <w:tcMar>
              <w:top w:w="0" w:type="dxa"/>
              <w:left w:w="105" w:type="dxa"/>
              <w:bottom w:w="0" w:type="dxa"/>
              <w:right w:w="105" w:type="dxa"/>
            </w:tcMar>
            <w:vAlign w:val="center"/>
          </w:tcPr>
          <w:p>
            <w:pPr>
              <w:pStyle w:val="29"/>
              <w:widowControl/>
              <w:spacing w:before="240" w:beforeAutospacing="0" w:after="150" w:afterAutospacing="0"/>
              <w:jc w:val="both"/>
              <w:rPr>
                <w:rFonts w:hint="eastAsia" w:ascii="宋体" w:hAnsi="宋体" w:eastAsia="宋体" w:cs="宋体"/>
                <w:sz w:val="21"/>
                <w:szCs w:val="20"/>
              </w:rPr>
            </w:pPr>
            <w:r>
              <w:rPr>
                <w:rFonts w:hint="eastAsia" w:ascii="宋体" w:hAnsi="宋体" w:eastAsia="宋体" w:cs="宋体"/>
                <w:sz w:val="21"/>
                <w:szCs w:val="20"/>
              </w:rPr>
              <w:t>实验质控</w:t>
            </w:r>
          </w:p>
        </w:tc>
        <w:tc>
          <w:tcPr>
            <w:tcW w:w="7467" w:type="dxa"/>
            <w:tcMar>
              <w:top w:w="0" w:type="dxa"/>
              <w:left w:w="105" w:type="dxa"/>
              <w:bottom w:w="0" w:type="dxa"/>
              <w:right w:w="105" w:type="dxa"/>
            </w:tcMar>
            <w:vAlign w:val="center"/>
          </w:tcPr>
          <w:p>
            <w:pPr>
              <w:pStyle w:val="29"/>
              <w:widowControl/>
              <w:spacing w:before="240" w:beforeAutospacing="0" w:after="150" w:afterAutospacing="0"/>
              <w:jc w:val="both"/>
              <w:rPr>
                <w:rFonts w:hint="eastAsia" w:ascii="宋体" w:hAnsi="宋体" w:eastAsia="宋体" w:cs="宋体"/>
                <w:sz w:val="21"/>
                <w:szCs w:val="20"/>
              </w:rPr>
            </w:pPr>
            <w:r>
              <w:rPr>
                <w:rFonts w:hint="eastAsia" w:ascii="宋体" w:hAnsi="宋体" w:eastAsia="宋体" w:cs="宋体"/>
                <w:sz w:val="21"/>
                <w:szCs w:val="20"/>
              </w:rPr>
              <w:t>试剂具有内对照，可监控整个操作流程，可评估样本质量及PCR抑制因素。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jc w:val="center"/>
        </w:trPr>
        <w:tc>
          <w:tcPr>
            <w:tcW w:w="813" w:type="dxa"/>
            <w:tcMar>
              <w:top w:w="0" w:type="dxa"/>
              <w:left w:w="105" w:type="dxa"/>
              <w:bottom w:w="0" w:type="dxa"/>
              <w:right w:w="105" w:type="dxa"/>
            </w:tcMar>
            <w:vAlign w:val="center"/>
          </w:tcPr>
          <w:p>
            <w:pPr>
              <w:pStyle w:val="29"/>
              <w:widowControl/>
              <w:spacing w:before="240" w:beforeAutospacing="0" w:after="150" w:afterAutospacing="0"/>
              <w:jc w:val="both"/>
              <w:rPr>
                <w:rFonts w:hint="eastAsia" w:ascii="宋体" w:hAnsi="宋体" w:eastAsia="宋体" w:cs="宋体"/>
                <w:sz w:val="21"/>
                <w:szCs w:val="20"/>
              </w:rPr>
            </w:pPr>
            <w:r>
              <w:rPr>
                <w:rFonts w:hint="eastAsia" w:ascii="宋体" w:hAnsi="宋体" w:eastAsia="宋体" w:cs="宋体"/>
                <w:sz w:val="21"/>
                <w:szCs w:val="20"/>
              </w:rPr>
              <w:t>7</w:t>
            </w:r>
          </w:p>
        </w:tc>
        <w:tc>
          <w:tcPr>
            <w:tcW w:w="1275" w:type="dxa"/>
            <w:tcMar>
              <w:top w:w="0" w:type="dxa"/>
              <w:left w:w="105" w:type="dxa"/>
              <w:bottom w:w="0" w:type="dxa"/>
              <w:right w:w="105" w:type="dxa"/>
            </w:tcMar>
            <w:vAlign w:val="center"/>
          </w:tcPr>
          <w:p>
            <w:pPr>
              <w:pStyle w:val="29"/>
              <w:widowControl/>
              <w:spacing w:before="240" w:beforeAutospacing="0" w:after="150" w:afterAutospacing="0"/>
              <w:jc w:val="both"/>
              <w:rPr>
                <w:rFonts w:hint="eastAsia" w:ascii="宋体" w:hAnsi="宋体" w:eastAsia="宋体" w:cs="宋体"/>
                <w:sz w:val="21"/>
                <w:szCs w:val="20"/>
              </w:rPr>
            </w:pPr>
            <w:r>
              <w:rPr>
                <w:rFonts w:hint="eastAsia" w:ascii="宋体" w:hAnsi="宋体" w:eastAsia="宋体" w:cs="宋体"/>
                <w:sz w:val="21"/>
                <w:szCs w:val="20"/>
              </w:rPr>
              <w:t>生物安全</w:t>
            </w:r>
          </w:p>
        </w:tc>
        <w:tc>
          <w:tcPr>
            <w:tcW w:w="7467" w:type="dxa"/>
            <w:tcMar>
              <w:top w:w="0" w:type="dxa"/>
              <w:left w:w="105" w:type="dxa"/>
              <w:bottom w:w="0" w:type="dxa"/>
              <w:right w:w="105" w:type="dxa"/>
            </w:tcMar>
            <w:vAlign w:val="center"/>
          </w:tcPr>
          <w:p>
            <w:pPr>
              <w:pStyle w:val="29"/>
              <w:widowControl/>
              <w:spacing w:before="240" w:beforeAutospacing="0" w:after="150" w:afterAutospacing="0"/>
              <w:jc w:val="both"/>
              <w:rPr>
                <w:rFonts w:hint="eastAsia" w:ascii="宋体" w:hAnsi="宋体" w:eastAsia="宋体" w:cs="宋体"/>
                <w:sz w:val="21"/>
                <w:szCs w:val="20"/>
              </w:rPr>
            </w:pPr>
            <w:r>
              <w:rPr>
                <w:rFonts w:hint="eastAsia" w:ascii="宋体" w:hAnsi="宋体" w:eastAsia="宋体" w:cs="宋体"/>
                <w:sz w:val="21"/>
                <w:szCs w:val="20"/>
              </w:rPr>
              <w:t>试剂具有UNG酶防污染系统。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09" w:hRule="atLeast"/>
          <w:jc w:val="center"/>
        </w:trPr>
        <w:tc>
          <w:tcPr>
            <w:tcW w:w="813" w:type="dxa"/>
            <w:tcMar>
              <w:top w:w="0" w:type="dxa"/>
              <w:left w:w="105" w:type="dxa"/>
              <w:bottom w:w="0" w:type="dxa"/>
              <w:right w:w="105" w:type="dxa"/>
            </w:tcMar>
            <w:vAlign w:val="center"/>
          </w:tcPr>
          <w:p>
            <w:pPr>
              <w:pStyle w:val="29"/>
              <w:widowControl/>
              <w:spacing w:before="240" w:beforeAutospacing="0" w:after="150" w:afterAutospacing="0"/>
              <w:jc w:val="both"/>
              <w:rPr>
                <w:rFonts w:hint="eastAsia" w:ascii="宋体" w:hAnsi="宋体" w:eastAsia="宋体" w:cs="宋体"/>
                <w:sz w:val="21"/>
                <w:szCs w:val="20"/>
              </w:rPr>
            </w:pPr>
            <w:r>
              <w:rPr>
                <w:rFonts w:hint="eastAsia" w:ascii="宋体" w:hAnsi="宋体" w:eastAsia="宋体" w:cs="宋体"/>
                <w:sz w:val="21"/>
                <w:szCs w:val="20"/>
              </w:rPr>
              <w:t>8</w:t>
            </w:r>
          </w:p>
        </w:tc>
        <w:tc>
          <w:tcPr>
            <w:tcW w:w="1275" w:type="dxa"/>
            <w:tcMar>
              <w:top w:w="0" w:type="dxa"/>
              <w:left w:w="105" w:type="dxa"/>
              <w:bottom w:w="0" w:type="dxa"/>
              <w:right w:w="105" w:type="dxa"/>
            </w:tcMar>
            <w:vAlign w:val="center"/>
          </w:tcPr>
          <w:p>
            <w:pPr>
              <w:pStyle w:val="29"/>
              <w:widowControl/>
              <w:spacing w:before="240" w:beforeAutospacing="0" w:after="150" w:afterAutospacing="0"/>
              <w:jc w:val="both"/>
              <w:rPr>
                <w:rFonts w:hint="eastAsia" w:ascii="宋体" w:hAnsi="宋体" w:eastAsia="宋体" w:cs="宋体"/>
                <w:sz w:val="21"/>
                <w:szCs w:val="20"/>
              </w:rPr>
            </w:pPr>
            <w:r>
              <w:rPr>
                <w:rFonts w:hint="eastAsia" w:ascii="宋体" w:hAnsi="宋体" w:eastAsia="宋体" w:cs="宋体"/>
                <w:sz w:val="21"/>
                <w:szCs w:val="20"/>
              </w:rPr>
              <w:t>灵活性</w:t>
            </w:r>
          </w:p>
        </w:tc>
        <w:tc>
          <w:tcPr>
            <w:tcW w:w="7467" w:type="dxa"/>
            <w:tcMar>
              <w:top w:w="0" w:type="dxa"/>
              <w:left w:w="105" w:type="dxa"/>
              <w:bottom w:w="0" w:type="dxa"/>
              <w:right w:w="105" w:type="dxa"/>
            </w:tcMar>
            <w:vAlign w:val="center"/>
          </w:tcPr>
          <w:p>
            <w:pPr>
              <w:pStyle w:val="29"/>
              <w:widowControl/>
              <w:spacing w:before="240" w:beforeAutospacing="0" w:after="150" w:afterAutospacing="0"/>
              <w:jc w:val="both"/>
              <w:rPr>
                <w:rFonts w:hint="eastAsia" w:ascii="宋体" w:hAnsi="宋体" w:eastAsia="宋体" w:cs="宋体"/>
                <w:sz w:val="21"/>
                <w:szCs w:val="20"/>
              </w:rPr>
            </w:pPr>
            <w:r>
              <w:rPr>
                <w:rFonts w:hint="eastAsia" w:ascii="宋体" w:hAnsi="宋体" w:eastAsia="宋体" w:cs="宋体"/>
                <w:sz w:val="21"/>
                <w:szCs w:val="20"/>
              </w:rPr>
              <w:t>不同批号试剂盒中各组分可以互换使用，以应对实验过程中一些突发情况。</w:t>
            </w:r>
          </w:p>
        </w:tc>
      </w:tr>
    </w:tbl>
    <w:p>
      <w:pPr>
        <w:numPr>
          <w:ilvl w:val="0"/>
          <w:numId w:val="0"/>
        </w:numPr>
        <w:spacing w:line="360" w:lineRule="auto"/>
        <w:ind w:leftChars="0"/>
        <w:rPr>
          <w:rFonts w:hint="eastAsia" w:ascii="宋体" w:hAnsi="宋体" w:eastAsia="宋体" w:cs="宋体"/>
          <w:b w:val="0"/>
          <w:bCs w:val="0"/>
          <w:sz w:val="24"/>
          <w:szCs w:val="24"/>
        </w:rPr>
      </w:pPr>
    </w:p>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page"/>
      </w:r>
    </w:p>
    <w:p>
      <w:pPr>
        <w:pStyle w:val="56"/>
        <w:numPr>
          <w:ilvl w:val="0"/>
          <w:numId w:val="0"/>
        </w:numPr>
        <w:spacing w:line="360" w:lineRule="auto"/>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包件二：</w:t>
      </w:r>
    </w:p>
    <w:p>
      <w:pPr>
        <w:pStyle w:val="56"/>
        <w:numPr>
          <w:ilvl w:val="0"/>
          <w:numId w:val="6"/>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宋体"/>
          <w:b w:val="0"/>
          <w:bCs w:val="0"/>
          <w:sz w:val="24"/>
          <w:szCs w:val="24"/>
          <w:lang w:val="en-US" w:eastAsia="zh-CN"/>
        </w:rPr>
        <w:t>心肺功能五项联检测试剂盒</w:t>
      </w:r>
    </w:p>
    <w:p>
      <w:pPr>
        <w:pStyle w:val="56"/>
        <w:numPr>
          <w:ilvl w:val="0"/>
          <w:numId w:val="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6"/>
        <w:numPr>
          <w:ilvl w:val="0"/>
          <w:numId w:val="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6"/>
        <w:numPr>
          <w:ilvl w:val="0"/>
          <w:numId w:val="6"/>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6"/>
        <w:widowControl w:val="0"/>
        <w:numPr>
          <w:ilvl w:val="0"/>
          <w:numId w:val="6"/>
        </w:numPr>
        <w:spacing w:line="360" w:lineRule="auto"/>
        <w:ind w:left="-420" w:leftChars="0" w:firstLine="420" w:firstLineChars="0"/>
        <w:jc w:val="both"/>
        <w:rPr>
          <w:rFonts w:hint="eastAsia" w:ascii="宋体" w:hAnsi="宋体" w:eastAsia="宋体"/>
          <w:b w:val="0"/>
          <w:bCs w:val="0"/>
          <w:sz w:val="24"/>
          <w:szCs w:val="24"/>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numPr>
          <w:ilvl w:val="0"/>
          <w:numId w:val="0"/>
        </w:numPr>
        <w:spacing w:line="360" w:lineRule="auto"/>
        <w:ind w:leftChars="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原理：荧光免疫测试法。单个测试试剂可同时检测肌酸激酶同工酶（CK-MB）、肌钙蛋白（cTnI）、肌红蛋白（Myo）、B型钠尿肽（BNP）、D-二聚体（D-Dimer）五种指标的定量结果。</w:t>
      </w:r>
    </w:p>
    <w:p>
      <w:pPr>
        <w:numPr>
          <w:ilvl w:val="0"/>
          <w:numId w:val="0"/>
        </w:numPr>
        <w:spacing w:line="360" w:lineRule="auto"/>
        <w:ind w:leftChars="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检测快速</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至少</w:t>
      </w:r>
      <w:r>
        <w:rPr>
          <w:rFonts w:hint="eastAsia" w:ascii="宋体" w:hAnsi="宋体" w:eastAsia="宋体" w:cs="宋体"/>
          <w:b w:val="0"/>
          <w:bCs w:val="0"/>
          <w:sz w:val="24"/>
          <w:szCs w:val="24"/>
        </w:rPr>
        <w:t>20分钟内可出具结果；</w:t>
      </w:r>
    </w:p>
    <w:p>
      <w:pPr>
        <w:numPr>
          <w:ilvl w:val="0"/>
          <w:numId w:val="0"/>
        </w:numPr>
        <w:spacing w:line="360" w:lineRule="auto"/>
        <w:ind w:leftChars="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灵敏度：肌酸激酶同工酶（CK-MB）最低检测限小于1.0ng/mL。肌红蛋白（Myo）最低检测限小于5ng/mL。肌钙蛋白（cTnl）最低检测限为小于0.05ng/mL。B型钠尿肽（BNP）最低检测限为小于50pg/mL。D-二聚体（D-Dimer）最低检测限为小于100ng/mL。</w:t>
      </w:r>
    </w:p>
    <w:p>
      <w:pPr>
        <w:numPr>
          <w:ilvl w:val="0"/>
          <w:numId w:val="0"/>
        </w:numPr>
        <w:spacing w:line="360" w:lineRule="auto"/>
        <w:ind w:leftChars="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具有医疗器械注册许可证。</w:t>
      </w:r>
    </w:p>
    <w:p>
      <w:pPr>
        <w:numPr>
          <w:ilvl w:val="0"/>
          <w:numId w:val="0"/>
        </w:numPr>
        <w:spacing w:line="360" w:lineRule="auto"/>
        <w:ind w:leftChars="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★投标人需响应医院SPD项目相关要求,并与上药医疗供应链管理(上海)有限公司签署相关SPD协议</w:t>
      </w:r>
      <w:r>
        <w:rPr>
          <w:rFonts w:hint="eastAsia" w:ascii="宋体" w:hAnsi="宋体" w:eastAsia="宋体" w:cs="宋体"/>
          <w:b w:val="0"/>
          <w:bCs w:val="0"/>
          <w:sz w:val="24"/>
          <w:szCs w:val="24"/>
          <w:lang w:eastAsia="zh-CN"/>
        </w:rPr>
        <w:t>。</w:t>
      </w:r>
    </w:p>
    <w:p>
      <w:pPr>
        <w:numPr>
          <w:ilvl w:val="0"/>
          <w:numId w:val="0"/>
        </w:numPr>
        <w:spacing w:line="360" w:lineRule="auto"/>
        <w:ind w:leftChars="0"/>
        <w:rPr>
          <w:rFonts w:hint="eastAsia" w:ascii="宋体" w:hAnsi="宋体" w:eastAsia="宋体" w:cs="宋体"/>
          <w:b w:val="0"/>
          <w:bCs w:val="0"/>
          <w:sz w:val="24"/>
          <w:szCs w:val="24"/>
        </w:rPr>
      </w:pPr>
      <w:bookmarkStart w:id="18" w:name="_GoBack"/>
      <w:bookmarkEnd w:id="18"/>
    </w:p>
    <w:p>
      <w:pPr>
        <w:numPr>
          <w:ilvl w:val="0"/>
          <w:numId w:val="0"/>
        </w:numPr>
        <w:spacing w:line="360" w:lineRule="auto"/>
        <w:ind w:leftChars="0"/>
        <w:rPr>
          <w:rFonts w:hint="eastAsia" w:ascii="宋体" w:hAnsi="宋体" w:eastAsia="宋体" w:cs="Times New Roman"/>
          <w:b/>
          <w:sz w:val="28"/>
          <w:szCs w:val="20"/>
        </w:rPr>
      </w:pPr>
    </w:p>
    <w:p>
      <w:pP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br w:type="page"/>
      </w:r>
    </w:p>
    <w:p>
      <w:pPr>
        <w:pStyle w:val="56"/>
        <w:numPr>
          <w:ilvl w:val="0"/>
          <w:numId w:val="0"/>
        </w:numPr>
        <w:spacing w:line="360" w:lineRule="auto"/>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包件三：</w:t>
      </w:r>
    </w:p>
    <w:p>
      <w:pPr>
        <w:pStyle w:val="56"/>
        <w:numPr>
          <w:ilvl w:val="0"/>
          <w:numId w:val="7"/>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宋体"/>
          <w:b w:val="0"/>
          <w:bCs w:val="0"/>
          <w:sz w:val="24"/>
          <w:szCs w:val="24"/>
          <w:lang w:val="en-US" w:eastAsia="zh-CN"/>
        </w:rPr>
        <w:t>：微生物检测相关试剂</w:t>
      </w:r>
    </w:p>
    <w:p>
      <w:pPr>
        <w:pStyle w:val="56"/>
        <w:numPr>
          <w:ilvl w:val="0"/>
          <w:numId w:val="7"/>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6"/>
        <w:numPr>
          <w:ilvl w:val="0"/>
          <w:numId w:val="7"/>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6"/>
        <w:numPr>
          <w:ilvl w:val="0"/>
          <w:numId w:val="7"/>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6"/>
        <w:widowControl w:val="0"/>
        <w:numPr>
          <w:ilvl w:val="0"/>
          <w:numId w:val="7"/>
        </w:numPr>
        <w:spacing w:line="360" w:lineRule="auto"/>
        <w:ind w:left="-420" w:leftChars="0" w:firstLine="420" w:firstLineChars="0"/>
        <w:jc w:val="both"/>
        <w:rPr>
          <w:rFonts w:hint="eastAsia" w:ascii="宋体" w:hAnsi="宋体" w:eastAsia="宋体"/>
          <w:b w:val="0"/>
          <w:bCs w:val="0"/>
          <w:sz w:val="24"/>
          <w:szCs w:val="24"/>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pStyle w:val="18"/>
        <w:numPr>
          <w:ilvl w:val="0"/>
          <w:numId w:val="8"/>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★投标人需响应医院SPD项目相关要求,并与上药医疗供应链管理(上海)有限公司签署相关SPD协议。</w:t>
      </w:r>
    </w:p>
    <w:p>
      <w:pPr>
        <w:pStyle w:val="18"/>
        <w:numPr>
          <w:ilvl w:val="0"/>
          <w:numId w:val="8"/>
        </w:numPr>
        <w:spacing w:line="360" w:lineRule="auto"/>
        <w:ind w:left="425" w:leftChars="0" w:hanging="425" w:firstLineChars="0"/>
        <w:rPr>
          <w:rFonts w:hint="eastAsia" w:ascii="宋体" w:hAnsi="宋体" w:eastAsia="宋体" w:cs="宋体"/>
          <w:b w:val="0"/>
          <w:bCs/>
          <w:szCs w:val="21"/>
          <w:highlight w:val="none"/>
        </w:rPr>
      </w:pPr>
      <w:r>
        <w:rPr>
          <w:rFonts w:hint="eastAsia" w:hAnsi="宋体" w:cs="宋体"/>
          <w:sz w:val="24"/>
          <w:szCs w:val="24"/>
          <w:lang w:val="en-US" w:eastAsia="zh-CN"/>
        </w:rPr>
        <w:t>参数</w:t>
      </w:r>
      <w:r>
        <w:rPr>
          <w:rFonts w:hint="eastAsia" w:hAnsi="宋体" w:cs="宋体"/>
          <w:sz w:val="24"/>
          <w:szCs w:val="24"/>
          <w:highlight w:val="none"/>
          <w:lang w:val="en-US" w:eastAsia="zh-CN"/>
        </w:rPr>
        <w:t>详情</w:t>
      </w:r>
      <w:r>
        <w:rPr>
          <w:rFonts w:hint="eastAsia" w:ascii="宋体" w:hAnsi="宋体" w:eastAsia="宋体" w:cs="宋体"/>
          <w:sz w:val="24"/>
          <w:szCs w:val="24"/>
          <w:highlight w:val="none"/>
          <w:lang w:val="en-US" w:eastAsia="zh-CN"/>
        </w:rPr>
        <w:t>：</w:t>
      </w:r>
    </w:p>
    <w:tbl>
      <w:tblPr>
        <w:tblStyle w:val="32"/>
        <w:tblW w:w="92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1146"/>
        <w:gridCol w:w="7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626"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1146"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名称</w:t>
            </w:r>
          </w:p>
        </w:tc>
        <w:tc>
          <w:tcPr>
            <w:tcW w:w="7505" w:type="dxa"/>
            <w:vAlign w:val="center"/>
          </w:tcPr>
          <w:p>
            <w:pPr>
              <w:adjustRightInd w:val="0"/>
              <w:snapToGrid w:val="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626"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1146" w:type="dxa"/>
            <w:vAlign w:val="center"/>
          </w:tcPr>
          <w:p>
            <w:pPr>
              <w:rPr>
                <w:rFonts w:hint="eastAsia" w:ascii="宋体" w:hAnsi="宋体" w:eastAsia="宋体" w:cs="宋体"/>
                <w:szCs w:val="21"/>
                <w:highlight w:val="none"/>
              </w:rPr>
            </w:pPr>
            <w:r>
              <w:rPr>
                <w:rFonts w:hint="eastAsia" w:ascii="宋体" w:hAnsi="宋体" w:eastAsia="宋体" w:cs="宋体"/>
                <w:b w:val="0"/>
                <w:bCs/>
                <w:szCs w:val="21"/>
                <w:highlight w:val="none"/>
              </w:rPr>
              <w:t>0.5%无菌TTC溶液</w:t>
            </w:r>
          </w:p>
        </w:tc>
        <w:tc>
          <w:tcPr>
            <w:tcW w:w="750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210" w:firstLineChars="100"/>
              <w:textAlignment w:val="auto"/>
              <w:rPr>
                <w:rFonts w:hint="eastAsia" w:ascii="宋体" w:hAnsi="宋体" w:eastAsia="宋体" w:cs="宋体"/>
                <w:b w:val="0"/>
                <w:bCs w:val="0"/>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rPr>
              <w:t>用途:添加于200ml中配成TTC卵磷脂-吐温80营养琼脂。</w:t>
            </w: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textAlignment w:val="auto"/>
              <w:rPr>
                <w:rFonts w:hint="default" w:ascii="宋体" w:hAnsi="宋体" w:eastAsia="宋体" w:cs="宋体"/>
                <w:b w:val="0"/>
                <w:bCs w:val="0"/>
                <w:lang w:val="en-US" w:eastAsia="zh-CN"/>
              </w:rPr>
            </w:pPr>
            <w:r>
              <w:rPr>
                <w:rFonts w:hint="eastAsia" w:ascii="宋体" w:hAnsi="宋体" w:eastAsia="宋体" w:cs="宋体"/>
                <w:b w:val="0"/>
                <w:bCs w:val="0"/>
                <w:lang w:val="en-US" w:eastAsia="zh-CN"/>
              </w:rPr>
              <w:t>2、配方成分：0.5%TTC。</w:t>
            </w: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textAlignment w:val="auto"/>
              <w:rPr>
                <w:rFonts w:hint="eastAsia" w:ascii="宋体" w:hAnsi="宋体" w:eastAsia="宋体" w:cs="宋体"/>
                <w:b w:val="0"/>
                <w:bCs w:val="0"/>
              </w:rPr>
            </w:pPr>
            <w:r>
              <w:rPr>
                <w:rFonts w:hint="eastAsia" w:ascii="宋体" w:hAnsi="宋体" w:eastAsia="宋体" w:cs="宋体"/>
                <w:b w:val="0"/>
                <w:bCs w:val="0"/>
                <w:lang w:val="en-US" w:eastAsia="zh-CN"/>
              </w:rPr>
              <w:t>3、</w:t>
            </w:r>
            <w:r>
              <w:rPr>
                <w:rFonts w:hint="eastAsia" w:ascii="宋体" w:hAnsi="宋体" w:eastAsia="宋体" w:cs="宋体"/>
                <w:b w:val="0"/>
                <w:bCs w:val="0"/>
              </w:rPr>
              <w:t>储存条件:2~8℃贮存</w:t>
            </w:r>
          </w:p>
          <w:p>
            <w:pPr>
              <w:jc w:val="left"/>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26"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1146" w:type="dxa"/>
            <w:vAlign w:val="center"/>
          </w:tcPr>
          <w:p>
            <w:pPr>
              <w:rPr>
                <w:rFonts w:hint="eastAsia" w:ascii="宋体" w:hAnsi="宋体" w:eastAsia="宋体" w:cs="宋体"/>
                <w:szCs w:val="21"/>
                <w:highlight w:val="none"/>
              </w:rPr>
            </w:pPr>
            <w:r>
              <w:rPr>
                <w:rFonts w:hint="eastAsia" w:ascii="宋体" w:hAnsi="宋体" w:eastAsia="宋体" w:cs="宋体"/>
                <w:szCs w:val="21"/>
                <w:highlight w:val="none"/>
              </w:rPr>
              <w:t>MUG营养琼脂培养基</w:t>
            </w:r>
          </w:p>
        </w:tc>
        <w:tc>
          <w:tcPr>
            <w:tcW w:w="750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rPr>
              <w:t>用途:用于滤膜法测定生活饮用水及其水源水中的大肠埃希氏菌。</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eastAsia="宋体" w:cs="宋体"/>
                <w:b w:val="0"/>
                <w:bCs w:val="0"/>
                <w:lang w:val="en-US" w:eastAsia="zh-CN"/>
              </w:rPr>
            </w:pPr>
            <w:r>
              <w:rPr>
                <w:rFonts w:hint="eastAsia" w:ascii="宋体" w:hAnsi="宋体" w:eastAsia="宋体" w:cs="宋体"/>
                <w:b w:val="0"/>
                <w:bCs w:val="0"/>
                <w:lang w:val="en-US" w:eastAsia="zh-CN"/>
              </w:rPr>
              <w:t>2、配方成分（每升）：蛋白胨含5.0g；牛肉膏粉含3.0g；琼脂含15.0g；MUG含0.1g；最终pH含 6.8±0.2。</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eastAsia="宋体" w:cs="宋体"/>
                <w:b w:val="0"/>
                <w:bCs w:val="0"/>
                <w:lang w:val="en-US" w:eastAsia="zh-CN"/>
              </w:rPr>
            </w:pPr>
            <w:r>
              <w:rPr>
                <w:rFonts w:hint="eastAsia" w:ascii="宋体" w:hAnsi="宋体" w:eastAsia="宋体" w:cs="宋体"/>
                <w:b w:val="0"/>
                <w:bCs w:val="0"/>
                <w:lang w:val="en-US" w:eastAsia="zh-CN"/>
              </w:rPr>
              <w:t>3、</w:t>
            </w:r>
            <w:r>
              <w:rPr>
                <w:rFonts w:hint="eastAsia" w:ascii="宋体" w:hAnsi="宋体" w:eastAsia="宋体" w:cs="宋体"/>
                <w:b w:val="0"/>
                <w:bCs w:val="0"/>
              </w:rPr>
              <w:t>储存条件:贮存</w:t>
            </w:r>
            <w:r>
              <w:rPr>
                <w:rFonts w:hint="eastAsia" w:ascii="宋体" w:hAnsi="宋体" w:eastAsia="宋体" w:cs="宋体"/>
                <w:b w:val="0"/>
                <w:bCs w:val="0"/>
                <w:lang w:val="en-US" w:eastAsia="zh-CN"/>
              </w:rPr>
              <w:t>于避光、干燥处。</w:t>
            </w:r>
          </w:p>
          <w:p>
            <w:pPr>
              <w:adjustRightInd w:val="0"/>
              <w:snapToGrid w:val="0"/>
              <w:jc w:val="left"/>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26" w:type="dxa"/>
            <w:vAlign w:val="center"/>
          </w:tcPr>
          <w:p>
            <w:pPr>
              <w:adjustRightInd w:val="0"/>
              <w:snapToGrid w:val="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w:t>
            </w:r>
          </w:p>
        </w:tc>
        <w:tc>
          <w:tcPr>
            <w:tcW w:w="1146" w:type="dxa"/>
            <w:vAlign w:val="center"/>
          </w:tcPr>
          <w:p>
            <w:pPr>
              <w:rPr>
                <w:rFonts w:hint="eastAsia" w:ascii="宋体" w:hAnsi="宋体" w:eastAsia="宋体" w:cs="宋体"/>
                <w:szCs w:val="21"/>
                <w:highlight w:val="none"/>
              </w:rPr>
            </w:pPr>
            <w:r>
              <w:rPr>
                <w:rFonts w:hint="eastAsia" w:ascii="宋体" w:hAnsi="宋体" w:eastAsia="宋体" w:cs="宋体"/>
                <w:szCs w:val="21"/>
                <w:highlight w:val="none"/>
                <w:lang w:val="en-US" w:eastAsia="zh-CN"/>
              </w:rPr>
              <w:t>革兰氏染色液</w:t>
            </w:r>
          </w:p>
        </w:tc>
        <w:tc>
          <w:tcPr>
            <w:tcW w:w="750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rPr>
            </w:pPr>
            <w:r>
              <w:rPr>
                <w:rFonts w:hint="eastAsia" w:ascii="华文仿宋" w:hAnsi="华文仿宋" w:eastAsia="华文仿宋" w:cs="华文仿宋"/>
                <w:b w:val="0"/>
                <w:bCs w:val="0"/>
                <w:kern w:val="2"/>
                <w:sz w:val="24"/>
                <w:szCs w:val="24"/>
                <w:lang w:val="en-US" w:eastAsia="zh-CN" w:bidi="ar-SA"/>
              </w:rPr>
              <w:t>1</w:t>
            </w:r>
            <w:r>
              <w:rPr>
                <w:rFonts w:hint="eastAsia" w:ascii="宋体" w:hAnsi="宋体" w:eastAsia="宋体" w:cs="宋体"/>
                <w:b w:val="0"/>
                <w:bCs w:val="0"/>
                <w:lang w:val="en-US" w:eastAsia="zh-CN"/>
              </w:rPr>
              <w:t>、</w:t>
            </w:r>
            <w:r>
              <w:rPr>
                <w:rFonts w:hint="eastAsia" w:ascii="宋体" w:hAnsi="宋体" w:eastAsia="宋体" w:cs="宋体"/>
                <w:b w:val="0"/>
                <w:bCs w:val="0"/>
              </w:rPr>
              <w:t>用途:用于细菌革兰氏染色实验。</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宋体" w:hAnsi="宋体" w:eastAsia="宋体" w:cs="宋体"/>
                <w:b w:val="0"/>
                <w:bCs w:val="0"/>
                <w:lang w:val="en-US" w:eastAsia="zh-CN"/>
              </w:rPr>
            </w:pPr>
            <w:r>
              <w:rPr>
                <w:rFonts w:hint="eastAsia" w:ascii="宋体" w:hAnsi="宋体" w:eastAsia="宋体" w:cs="宋体"/>
                <w:b w:val="0"/>
                <w:bCs w:val="0"/>
                <w:lang w:val="en-US" w:eastAsia="zh-CN"/>
              </w:rPr>
              <w:t>2、配方成分（每瓶）：</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kern w:val="2"/>
                <w:sz w:val="21"/>
                <w:szCs w:val="24"/>
                <w:lang w:val="en-US" w:eastAsia="zh-CN" w:bidi="ar-SA"/>
              </w:rPr>
              <w:t>a、</w:t>
            </w:r>
            <w:r>
              <w:rPr>
                <w:rFonts w:hint="eastAsia" w:ascii="宋体" w:hAnsi="宋体" w:eastAsia="宋体" w:cs="宋体"/>
                <w:b w:val="0"/>
                <w:bCs w:val="0"/>
                <w:lang w:val="en-US" w:eastAsia="zh-CN"/>
              </w:rPr>
              <w:t>结晶紫染色液：结晶紫0.1g、95%乙醇2ml、1%草酸铵水溶液8ml</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default" w:ascii="宋体" w:hAnsi="宋体" w:eastAsia="宋体" w:cs="宋体"/>
                <w:b w:val="0"/>
                <w:bCs w:val="0"/>
                <w:lang w:val="en-US" w:eastAsia="zh-CN"/>
              </w:rPr>
            </w:pPr>
            <w:r>
              <w:rPr>
                <w:rFonts w:hint="default" w:ascii="宋体" w:hAnsi="宋体" w:eastAsia="宋体" w:cs="宋体"/>
                <w:b w:val="0"/>
                <w:bCs w:val="0"/>
                <w:kern w:val="2"/>
                <w:sz w:val="21"/>
                <w:szCs w:val="24"/>
                <w:lang w:val="en-US" w:eastAsia="zh-CN" w:bidi="ar-SA"/>
              </w:rPr>
              <w:t>b、</w:t>
            </w:r>
            <w:r>
              <w:rPr>
                <w:rFonts w:hint="eastAsia" w:ascii="宋体" w:hAnsi="宋体" w:eastAsia="宋体" w:cs="宋体"/>
                <w:b w:val="0"/>
                <w:bCs w:val="0"/>
                <w:lang w:val="en-US" w:eastAsia="zh-CN"/>
              </w:rPr>
              <w:t>革兰氏碘液：碘0.033g、碘化钾0.067g、蒸馏水10ml</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default" w:ascii="宋体" w:hAnsi="宋体" w:eastAsia="宋体" w:cs="宋体"/>
                <w:b w:val="0"/>
                <w:bCs w:val="0"/>
                <w:lang w:val="en-US" w:eastAsia="zh-CN"/>
              </w:rPr>
            </w:pPr>
            <w:r>
              <w:rPr>
                <w:rFonts w:hint="default" w:ascii="宋体" w:hAnsi="宋体" w:eastAsia="宋体" w:cs="宋体"/>
                <w:b w:val="0"/>
                <w:bCs w:val="0"/>
                <w:kern w:val="2"/>
                <w:sz w:val="21"/>
                <w:szCs w:val="24"/>
                <w:lang w:val="en-US" w:eastAsia="zh-CN" w:bidi="ar-SA"/>
              </w:rPr>
              <w:t>c、</w:t>
            </w:r>
            <w:r>
              <w:rPr>
                <w:rFonts w:hint="eastAsia" w:ascii="宋体" w:hAnsi="宋体" w:eastAsia="宋体" w:cs="宋体"/>
                <w:b w:val="0"/>
                <w:bCs w:val="0"/>
                <w:lang w:val="en-US" w:eastAsia="zh-CN"/>
              </w:rPr>
              <w:t>脱水酒精：95%乙醇10mL</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default" w:ascii="宋体" w:hAnsi="宋体" w:eastAsia="宋体" w:cs="宋体"/>
                <w:b w:val="0"/>
                <w:bCs w:val="0"/>
                <w:lang w:val="en-US" w:eastAsia="zh-CN"/>
              </w:rPr>
            </w:pPr>
            <w:r>
              <w:rPr>
                <w:rFonts w:hint="default" w:ascii="宋体" w:hAnsi="宋体" w:eastAsia="宋体" w:cs="宋体"/>
                <w:b w:val="0"/>
                <w:bCs w:val="0"/>
                <w:kern w:val="2"/>
                <w:sz w:val="21"/>
                <w:szCs w:val="24"/>
                <w:lang w:val="en-US" w:eastAsia="zh-CN" w:bidi="ar-SA"/>
              </w:rPr>
              <w:t>d、</w:t>
            </w:r>
            <w:r>
              <w:rPr>
                <w:rFonts w:hint="eastAsia" w:ascii="宋体" w:hAnsi="宋体" w:eastAsia="宋体" w:cs="宋体"/>
                <w:b w:val="0"/>
                <w:bCs w:val="0"/>
                <w:lang w:val="en-US" w:eastAsia="zh-CN"/>
              </w:rPr>
              <w:t>沙黄复染液：沙黄0.025g、95%乙醇1mL、蒸馏水9mL</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3、</w:t>
            </w:r>
            <w:r>
              <w:rPr>
                <w:rFonts w:hint="eastAsia" w:ascii="宋体" w:hAnsi="宋体" w:eastAsia="宋体" w:cs="宋体"/>
                <w:b w:val="0"/>
                <w:bCs w:val="0"/>
              </w:rPr>
              <w:t>储存条件:</w:t>
            </w:r>
            <w:r>
              <w:rPr>
                <w:rFonts w:hint="eastAsia" w:ascii="宋体" w:hAnsi="宋体" w:eastAsia="宋体" w:cs="宋体"/>
                <w:b w:val="0"/>
                <w:bCs w:val="0"/>
                <w:lang w:val="en-US" w:eastAsia="zh-CN"/>
              </w:rPr>
              <w:t>常温避光保存</w:t>
            </w:r>
          </w:p>
          <w:p>
            <w:pPr>
              <w:adjustRightInd w:val="0"/>
              <w:snapToGrid w:val="0"/>
              <w:jc w:val="left"/>
              <w:rPr>
                <w:rFonts w:hint="eastAsia" w:ascii="宋体" w:hAnsi="宋体" w:eastAsia="宋体" w:cs="宋体"/>
                <w:szCs w:val="21"/>
                <w:highlight w:val="none"/>
              </w:rPr>
            </w:pPr>
          </w:p>
        </w:tc>
      </w:tr>
    </w:tbl>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pStyle w:val="56"/>
        <w:numPr>
          <w:ilvl w:val="0"/>
          <w:numId w:val="0"/>
        </w:numPr>
        <w:spacing w:line="360" w:lineRule="auto"/>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包件四：</w:t>
      </w:r>
    </w:p>
    <w:p>
      <w:pPr>
        <w:pStyle w:val="56"/>
        <w:numPr>
          <w:ilvl w:val="0"/>
          <w:numId w:val="9"/>
        </w:numPr>
        <w:spacing w:line="360" w:lineRule="auto"/>
        <w:ind w:left="-420" w:leftChars="0" w:firstLine="420" w:firstLineChars="0"/>
        <w:rPr>
          <w:rFonts w:hint="eastAsia" w:ascii="宋体" w:hAnsi="宋体" w:eastAsia="宋体"/>
          <w:b w:val="0"/>
          <w:bCs w:val="0"/>
          <w:sz w:val="24"/>
          <w:szCs w:val="24"/>
          <w:highlight w:val="none"/>
          <w:lang w:val="en-US" w:eastAsia="zh-CN"/>
        </w:rPr>
      </w:pPr>
      <w:r>
        <w:rPr>
          <w:rFonts w:hint="eastAsia" w:ascii="宋体" w:hAnsi="宋体" w:eastAsia="宋体" w:cs="Times New Roman"/>
          <w:sz w:val="24"/>
          <w:szCs w:val="24"/>
          <w:highlight w:val="none"/>
          <w:lang w:val="en-US" w:eastAsia="zh-CN"/>
        </w:rPr>
        <w:t>项</w:t>
      </w:r>
      <w:r>
        <w:rPr>
          <w:rFonts w:hint="eastAsia" w:ascii="宋体" w:hAnsi="宋体" w:eastAsia="宋体" w:cs="宋体"/>
          <w:sz w:val="24"/>
          <w:szCs w:val="24"/>
          <w:highlight w:val="none"/>
          <w:lang w:val="en-US" w:eastAsia="zh-CN"/>
        </w:rPr>
        <w:t>目</w:t>
      </w:r>
      <w:r>
        <w:rPr>
          <w:rFonts w:hint="eastAsia" w:ascii="宋体" w:hAnsi="宋体" w:eastAsia="宋体" w:cs="宋体"/>
          <w:b w:val="0"/>
          <w:bCs w:val="0"/>
          <w:sz w:val="24"/>
          <w:szCs w:val="24"/>
          <w:highlight w:val="none"/>
        </w:rPr>
        <w:t>名称</w:t>
      </w:r>
      <w:r>
        <w:rPr>
          <w:rFonts w:hint="eastAsia" w:ascii="宋体" w:hAnsi="宋体" w:eastAsia="宋体"/>
          <w:b w:val="0"/>
          <w:bCs w:val="0"/>
          <w:sz w:val="24"/>
          <w:szCs w:val="24"/>
          <w:highlight w:val="none"/>
          <w:lang w:val="en-US" w:eastAsia="zh-CN"/>
        </w:rPr>
        <w:t>：甘胆酸检测试剂盒</w:t>
      </w:r>
    </w:p>
    <w:p>
      <w:pPr>
        <w:pStyle w:val="56"/>
        <w:numPr>
          <w:ilvl w:val="0"/>
          <w:numId w:val="9"/>
        </w:numPr>
        <w:spacing w:line="360" w:lineRule="auto"/>
        <w:ind w:left="-420" w:leftChars="0" w:firstLine="420" w:firstLineChars="0"/>
        <w:rPr>
          <w:rFonts w:ascii="宋体" w:hAnsi="宋体" w:eastAsia="宋体"/>
          <w:b w:val="0"/>
          <w:bCs w:val="0"/>
          <w:sz w:val="24"/>
          <w:szCs w:val="24"/>
          <w:highlight w:val="none"/>
        </w:rPr>
      </w:pPr>
      <w:r>
        <w:rPr>
          <w:rFonts w:hint="eastAsia" w:ascii="宋体" w:hAnsi="宋体" w:eastAsia="宋体"/>
          <w:b w:val="0"/>
          <w:bCs w:val="0"/>
          <w:sz w:val="24"/>
          <w:szCs w:val="24"/>
          <w:highlight w:val="none"/>
        </w:rPr>
        <w:t>交货时间：</w:t>
      </w:r>
      <w:r>
        <w:rPr>
          <w:rFonts w:hint="eastAsia" w:ascii="宋体" w:hAnsi="宋体" w:eastAsia="宋体"/>
          <w:b w:val="0"/>
          <w:bCs w:val="0"/>
          <w:sz w:val="24"/>
          <w:szCs w:val="24"/>
          <w:highlight w:val="none"/>
          <w:lang w:val="en-US" w:eastAsia="zh-CN"/>
        </w:rPr>
        <w:t>买方指定时间</w:t>
      </w:r>
    </w:p>
    <w:p>
      <w:pPr>
        <w:pStyle w:val="56"/>
        <w:numPr>
          <w:ilvl w:val="0"/>
          <w:numId w:val="9"/>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6"/>
        <w:numPr>
          <w:ilvl w:val="0"/>
          <w:numId w:val="9"/>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6"/>
        <w:widowControl w:val="0"/>
        <w:numPr>
          <w:ilvl w:val="0"/>
          <w:numId w:val="9"/>
        </w:numPr>
        <w:spacing w:line="360" w:lineRule="auto"/>
        <w:ind w:left="-420" w:leftChars="0" w:firstLine="420" w:firstLineChars="0"/>
        <w:jc w:val="both"/>
        <w:rPr>
          <w:rFonts w:hint="eastAsia" w:ascii="宋体" w:hAnsi="宋体" w:eastAsia="宋体" w:cs="宋体"/>
          <w:b w:val="0"/>
          <w:bCs w:val="0"/>
          <w:color w:val="auto"/>
          <w:sz w:val="24"/>
          <w:szCs w:val="24"/>
          <w:lang w:eastAsia="zh-CN"/>
        </w:rPr>
      </w:pPr>
      <w:r>
        <w:rPr>
          <w:rFonts w:hint="eastAsia" w:ascii="宋体" w:hAnsi="宋体" w:eastAsia="宋体" w:cs="宋体"/>
          <w:b w:val="0"/>
          <w:bCs w:val="0"/>
          <w:sz w:val="24"/>
          <w:szCs w:val="24"/>
        </w:rPr>
        <w:t>技术指</w:t>
      </w:r>
      <w:r>
        <w:rPr>
          <w:rFonts w:hint="eastAsia" w:ascii="宋体" w:hAnsi="宋体" w:eastAsia="宋体" w:cs="宋体"/>
          <w:b w:val="0"/>
          <w:bCs w:val="0"/>
          <w:color w:val="auto"/>
          <w:sz w:val="24"/>
          <w:szCs w:val="24"/>
        </w:rPr>
        <w:t>标要求</w:t>
      </w:r>
      <w:r>
        <w:rPr>
          <w:rFonts w:hint="eastAsia" w:ascii="宋体" w:hAnsi="宋体" w:eastAsia="宋体" w:cs="宋体"/>
          <w:b w:val="0"/>
          <w:bCs w:val="0"/>
          <w:color w:val="auto"/>
          <w:sz w:val="24"/>
          <w:szCs w:val="24"/>
          <w:lang w:eastAsia="zh-CN"/>
        </w:rPr>
        <w:t>：</w:t>
      </w:r>
    </w:p>
    <w:p>
      <w:pPr>
        <w:numPr>
          <w:ilvl w:val="0"/>
          <w:numId w:val="1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★投标人需响应医院SPD项目相关要求,并与上药医疗供应链管理(上海)有限公司签署相关SPD协议。</w:t>
      </w:r>
    </w:p>
    <w:p>
      <w:pPr>
        <w:numPr>
          <w:ilvl w:val="0"/>
          <w:numId w:val="1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参数详情：</w:t>
      </w:r>
    </w:p>
    <w:tbl>
      <w:tblPr>
        <w:tblStyle w:val="32"/>
        <w:tblW w:w="92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843"/>
        <w:gridCol w:w="6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947" w:type="dxa"/>
            <w:vAlign w:val="center"/>
          </w:tcPr>
          <w:p>
            <w:pPr>
              <w:adjustRightInd w:val="0"/>
              <w:snapToGrid w:val="0"/>
              <w:spacing w:line="360" w:lineRule="auto"/>
              <w:jc w:val="center"/>
              <w:rPr>
                <w:rFonts w:ascii="宋体" w:hAnsi="宋体"/>
                <w:sz w:val="22"/>
                <w:szCs w:val="21"/>
              </w:rPr>
            </w:pPr>
            <w:r>
              <w:rPr>
                <w:rFonts w:hint="eastAsia" w:ascii="宋体" w:hAnsi="宋体"/>
                <w:sz w:val="22"/>
                <w:szCs w:val="21"/>
              </w:rPr>
              <w:t>序号</w:t>
            </w:r>
          </w:p>
        </w:tc>
        <w:tc>
          <w:tcPr>
            <w:tcW w:w="1843" w:type="dxa"/>
            <w:vAlign w:val="center"/>
          </w:tcPr>
          <w:p>
            <w:pPr>
              <w:adjustRightInd w:val="0"/>
              <w:snapToGrid w:val="0"/>
              <w:spacing w:line="360" w:lineRule="auto"/>
              <w:jc w:val="center"/>
              <w:rPr>
                <w:rFonts w:ascii="宋体" w:hAnsi="宋体"/>
                <w:sz w:val="22"/>
                <w:szCs w:val="21"/>
              </w:rPr>
            </w:pPr>
            <w:r>
              <w:rPr>
                <w:rFonts w:hint="eastAsia" w:ascii="宋体" w:hAnsi="宋体"/>
                <w:sz w:val="22"/>
                <w:szCs w:val="21"/>
              </w:rPr>
              <w:t>名称</w:t>
            </w:r>
          </w:p>
        </w:tc>
        <w:tc>
          <w:tcPr>
            <w:tcW w:w="6487" w:type="dxa"/>
            <w:vAlign w:val="center"/>
          </w:tcPr>
          <w:p>
            <w:pPr>
              <w:adjustRightInd w:val="0"/>
              <w:snapToGrid w:val="0"/>
              <w:spacing w:line="360" w:lineRule="auto"/>
              <w:jc w:val="center"/>
              <w:rPr>
                <w:rFonts w:hint="eastAsia" w:ascii="宋体" w:hAnsi="宋体" w:eastAsiaTheme="minorEastAsia"/>
                <w:sz w:val="22"/>
                <w:szCs w:val="21"/>
                <w:lang w:eastAsia="zh-CN"/>
              </w:rPr>
            </w:pPr>
            <w:r>
              <w:rPr>
                <w:rFonts w:hint="eastAsia" w:ascii="宋体" w:hAnsi="宋体"/>
                <w:sz w:val="22"/>
                <w:szCs w:val="21"/>
                <w:lang w:val="en-US"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947" w:type="dxa"/>
            <w:vAlign w:val="center"/>
          </w:tcPr>
          <w:p>
            <w:pPr>
              <w:adjustRightInd w:val="0"/>
              <w:snapToGrid w:val="0"/>
              <w:spacing w:line="360" w:lineRule="auto"/>
              <w:jc w:val="center"/>
              <w:rPr>
                <w:rFonts w:hint="eastAsia" w:ascii="宋体" w:hAnsi="宋体"/>
                <w:sz w:val="22"/>
                <w:szCs w:val="21"/>
              </w:rPr>
            </w:pPr>
            <w:r>
              <w:rPr>
                <w:rFonts w:hint="eastAsia" w:ascii="宋体" w:hAnsi="宋体"/>
                <w:sz w:val="22"/>
                <w:szCs w:val="21"/>
              </w:rPr>
              <w:t>1</w:t>
            </w:r>
          </w:p>
        </w:tc>
        <w:tc>
          <w:tcPr>
            <w:tcW w:w="1843" w:type="dxa"/>
            <w:vAlign w:val="center"/>
          </w:tcPr>
          <w:p>
            <w:pPr>
              <w:adjustRightInd w:val="0"/>
              <w:snapToGrid w:val="0"/>
              <w:spacing w:line="360" w:lineRule="auto"/>
              <w:jc w:val="center"/>
              <w:rPr>
                <w:rFonts w:hint="eastAsia" w:ascii="宋体" w:hAnsi="宋体"/>
                <w:sz w:val="22"/>
                <w:szCs w:val="21"/>
              </w:rPr>
            </w:pPr>
            <w:r>
              <w:rPr>
                <w:rFonts w:hint="eastAsia" w:ascii="宋体" w:hAnsi="宋体"/>
                <w:sz w:val="22"/>
                <w:szCs w:val="21"/>
                <w:lang w:val="en-US" w:eastAsia="zh-CN"/>
              </w:rPr>
              <w:t>试剂</w:t>
            </w:r>
            <w:r>
              <w:rPr>
                <w:rFonts w:hint="eastAsia" w:ascii="宋体" w:hAnsi="宋体"/>
                <w:sz w:val="22"/>
                <w:szCs w:val="21"/>
              </w:rPr>
              <w:t>用途</w:t>
            </w:r>
          </w:p>
        </w:tc>
        <w:tc>
          <w:tcPr>
            <w:tcW w:w="6487" w:type="dxa"/>
            <w:vAlign w:val="center"/>
          </w:tcPr>
          <w:p>
            <w:pPr>
              <w:adjustRightInd w:val="0"/>
              <w:snapToGrid w:val="0"/>
              <w:spacing w:line="360" w:lineRule="auto"/>
              <w:jc w:val="left"/>
              <w:rPr>
                <w:rFonts w:hint="eastAsia" w:ascii="宋体" w:hAnsi="宋体"/>
                <w:sz w:val="22"/>
                <w:szCs w:val="21"/>
              </w:rPr>
            </w:pPr>
            <w:r>
              <w:rPr>
                <w:rFonts w:hint="eastAsia" w:ascii="宋体" w:hAnsi="宋体"/>
                <w:sz w:val="22"/>
                <w:szCs w:val="21"/>
              </w:rPr>
              <w:t>用于体外定量检测人血清中甘胆酸的含量，主要用于评价</w:t>
            </w:r>
          </w:p>
          <w:p>
            <w:pPr>
              <w:adjustRightInd w:val="0"/>
              <w:snapToGrid w:val="0"/>
              <w:spacing w:line="360" w:lineRule="auto"/>
              <w:jc w:val="left"/>
              <w:rPr>
                <w:rFonts w:hint="default" w:ascii="宋体" w:hAnsi="宋体"/>
                <w:sz w:val="22"/>
                <w:szCs w:val="21"/>
                <w:lang w:val="en-US"/>
              </w:rPr>
            </w:pPr>
            <w:r>
              <w:rPr>
                <w:rFonts w:hint="eastAsia" w:ascii="宋体" w:hAnsi="宋体"/>
                <w:sz w:val="22"/>
                <w:szCs w:val="21"/>
              </w:rPr>
              <w:t>肝细胞功能及其肝胆系物质循环功能</w:t>
            </w:r>
            <w:r>
              <w:rPr>
                <w:rFonts w:hint="eastAsia" w:ascii="宋体" w:hAnsi="宋体"/>
                <w:sz w:val="22"/>
                <w:szCs w:val="21"/>
                <w:lang w:eastAsia="zh-CN"/>
              </w:rPr>
              <w:t>，</w:t>
            </w:r>
            <w:r>
              <w:rPr>
                <w:rFonts w:hint="eastAsia" w:ascii="宋体" w:hAnsi="宋体"/>
                <w:sz w:val="22"/>
                <w:szCs w:val="21"/>
                <w:lang w:val="en-US" w:eastAsia="zh-CN"/>
              </w:rPr>
              <w:t>用于</w:t>
            </w:r>
            <w:r>
              <w:rPr>
                <w:rFonts w:hint="eastAsia" w:ascii="宋体" w:hAnsi="宋体"/>
                <w:sz w:val="22"/>
                <w:szCs w:val="21"/>
                <w:lang w:eastAsia="zh-CN"/>
              </w:rPr>
              <w:t>检测胆汁郁积和早期酒精肝损伤、孕妇妊娠期肝内胆汁淤积症（ICP）</w:t>
            </w:r>
            <w:r>
              <w:rPr>
                <w:rFonts w:hint="eastAsia" w:ascii="宋体" w:hAnsi="宋体"/>
                <w:sz w:val="22"/>
                <w:szCs w:val="21"/>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947" w:type="dxa"/>
            <w:vAlign w:val="center"/>
          </w:tcPr>
          <w:p>
            <w:pPr>
              <w:adjustRightInd w:val="0"/>
              <w:snapToGrid w:val="0"/>
              <w:spacing w:line="360" w:lineRule="auto"/>
              <w:jc w:val="center"/>
              <w:rPr>
                <w:rFonts w:hint="eastAsia" w:ascii="宋体" w:hAnsi="宋体" w:eastAsia="宋体"/>
                <w:sz w:val="22"/>
                <w:szCs w:val="21"/>
                <w:lang w:val="en-US" w:eastAsia="zh-CN"/>
              </w:rPr>
            </w:pPr>
            <w:r>
              <w:rPr>
                <w:rFonts w:hint="eastAsia" w:ascii="宋体" w:hAnsi="宋体"/>
                <w:sz w:val="22"/>
                <w:szCs w:val="21"/>
                <w:lang w:val="en-US" w:eastAsia="zh-CN"/>
              </w:rPr>
              <w:t>2</w:t>
            </w:r>
          </w:p>
        </w:tc>
        <w:tc>
          <w:tcPr>
            <w:tcW w:w="1843" w:type="dxa"/>
            <w:vAlign w:val="center"/>
          </w:tcPr>
          <w:p>
            <w:pPr>
              <w:adjustRightInd w:val="0"/>
              <w:snapToGrid w:val="0"/>
              <w:spacing w:line="360" w:lineRule="auto"/>
              <w:jc w:val="center"/>
              <w:rPr>
                <w:rFonts w:hint="default" w:ascii="宋体" w:hAnsi="宋体"/>
                <w:sz w:val="22"/>
                <w:szCs w:val="21"/>
                <w:lang w:val="en-US" w:eastAsia="zh-CN"/>
              </w:rPr>
            </w:pPr>
            <w:r>
              <w:rPr>
                <w:rFonts w:hint="eastAsia" w:ascii="宋体" w:hAnsi="宋体"/>
                <w:sz w:val="22"/>
                <w:szCs w:val="21"/>
                <w:lang w:val="en-US" w:eastAsia="zh-CN"/>
              </w:rPr>
              <w:t>方法学</w:t>
            </w:r>
          </w:p>
        </w:tc>
        <w:tc>
          <w:tcPr>
            <w:tcW w:w="6487" w:type="dxa"/>
            <w:vAlign w:val="center"/>
          </w:tcPr>
          <w:p>
            <w:pPr>
              <w:adjustRightInd w:val="0"/>
              <w:snapToGrid w:val="0"/>
              <w:spacing w:line="360" w:lineRule="auto"/>
              <w:jc w:val="left"/>
              <w:rPr>
                <w:rFonts w:hint="eastAsia" w:ascii="宋体" w:hAnsi="宋体" w:eastAsia="宋体"/>
                <w:sz w:val="22"/>
                <w:szCs w:val="21"/>
                <w:lang w:eastAsia="zh-CN"/>
              </w:rPr>
            </w:pPr>
            <w:r>
              <w:rPr>
                <w:rFonts w:hint="eastAsia" w:ascii="宋体" w:hAnsi="宋体"/>
                <w:sz w:val="22"/>
                <w:szCs w:val="21"/>
              </w:rPr>
              <w:t>均相酶免疫法</w:t>
            </w:r>
            <w:r>
              <w:rPr>
                <w:rFonts w:hint="eastAsia" w:ascii="宋体" w:hAnsi="宋体"/>
                <w:sz w:val="22"/>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947" w:type="dxa"/>
            <w:vAlign w:val="center"/>
          </w:tcPr>
          <w:p>
            <w:pPr>
              <w:adjustRightInd w:val="0"/>
              <w:snapToGrid w:val="0"/>
              <w:spacing w:line="360" w:lineRule="auto"/>
              <w:jc w:val="center"/>
              <w:rPr>
                <w:rFonts w:hint="default" w:ascii="宋体" w:hAnsi="宋体" w:eastAsia="宋体"/>
                <w:sz w:val="22"/>
                <w:szCs w:val="21"/>
                <w:lang w:val="en-US" w:eastAsia="zh-CN"/>
              </w:rPr>
            </w:pPr>
            <w:r>
              <w:rPr>
                <w:rFonts w:hint="eastAsia" w:ascii="宋体" w:hAnsi="宋体" w:eastAsia="宋体"/>
                <w:sz w:val="22"/>
                <w:szCs w:val="21"/>
                <w:lang w:val="en-US" w:eastAsia="zh-CN"/>
              </w:rPr>
              <w:t>3</w:t>
            </w:r>
          </w:p>
        </w:tc>
        <w:tc>
          <w:tcPr>
            <w:tcW w:w="1843" w:type="dxa"/>
            <w:vAlign w:val="center"/>
          </w:tcPr>
          <w:p>
            <w:pPr>
              <w:adjustRightInd w:val="0"/>
              <w:snapToGrid w:val="0"/>
              <w:spacing w:line="360" w:lineRule="auto"/>
              <w:jc w:val="center"/>
              <w:rPr>
                <w:rFonts w:ascii="宋体" w:hAnsi="宋体"/>
                <w:sz w:val="22"/>
                <w:szCs w:val="21"/>
              </w:rPr>
            </w:pPr>
            <w:r>
              <w:rPr>
                <w:rFonts w:hint="eastAsia" w:ascii="宋体" w:hAnsi="宋体"/>
                <w:sz w:val="22"/>
                <w:szCs w:val="21"/>
              </w:rPr>
              <w:t>有效期</w:t>
            </w:r>
          </w:p>
        </w:tc>
        <w:tc>
          <w:tcPr>
            <w:tcW w:w="6487" w:type="dxa"/>
            <w:vAlign w:val="center"/>
          </w:tcPr>
          <w:p>
            <w:pPr>
              <w:adjustRightInd w:val="0"/>
              <w:snapToGrid w:val="0"/>
              <w:spacing w:line="360" w:lineRule="auto"/>
              <w:jc w:val="left"/>
              <w:rPr>
                <w:rFonts w:ascii="宋体" w:hAnsi="宋体"/>
                <w:sz w:val="22"/>
                <w:szCs w:val="21"/>
              </w:rPr>
            </w:pPr>
            <w:r>
              <w:rPr>
                <w:rFonts w:hint="eastAsia" w:ascii="宋体" w:hAnsi="宋体"/>
                <w:sz w:val="22"/>
                <w:szCs w:val="21"/>
              </w:rPr>
              <w:t>试剂贮存有效期不低于18个月。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jc w:val="center"/>
        </w:trPr>
        <w:tc>
          <w:tcPr>
            <w:tcW w:w="947" w:type="dxa"/>
            <w:vAlign w:val="center"/>
          </w:tcPr>
          <w:p>
            <w:pPr>
              <w:adjustRightInd w:val="0"/>
              <w:snapToGrid w:val="0"/>
              <w:spacing w:line="360" w:lineRule="auto"/>
              <w:jc w:val="center"/>
              <w:rPr>
                <w:rFonts w:hint="default" w:ascii="宋体" w:hAnsi="宋体" w:eastAsia="宋体"/>
                <w:sz w:val="22"/>
                <w:szCs w:val="21"/>
                <w:lang w:val="en-US" w:eastAsia="zh-CN"/>
              </w:rPr>
            </w:pPr>
            <w:r>
              <w:rPr>
                <w:rFonts w:hint="eastAsia" w:ascii="宋体" w:hAnsi="宋体" w:eastAsia="宋体"/>
                <w:sz w:val="22"/>
                <w:szCs w:val="21"/>
                <w:lang w:val="en-US" w:eastAsia="zh-CN"/>
              </w:rPr>
              <w:t>4</w:t>
            </w:r>
          </w:p>
        </w:tc>
        <w:tc>
          <w:tcPr>
            <w:tcW w:w="1843" w:type="dxa"/>
            <w:vAlign w:val="center"/>
          </w:tcPr>
          <w:p>
            <w:pPr>
              <w:adjustRightInd w:val="0"/>
              <w:snapToGrid w:val="0"/>
              <w:spacing w:line="360" w:lineRule="auto"/>
              <w:jc w:val="center"/>
              <w:rPr>
                <w:rFonts w:ascii="宋体" w:hAnsi="宋体"/>
                <w:sz w:val="22"/>
                <w:szCs w:val="21"/>
              </w:rPr>
            </w:pPr>
            <w:r>
              <w:rPr>
                <w:rFonts w:hint="eastAsia" w:ascii="宋体" w:hAnsi="宋体"/>
                <w:sz w:val="22"/>
                <w:szCs w:val="21"/>
              </w:rPr>
              <w:t>样本类型</w:t>
            </w:r>
          </w:p>
        </w:tc>
        <w:tc>
          <w:tcPr>
            <w:tcW w:w="6487" w:type="dxa"/>
            <w:vAlign w:val="center"/>
          </w:tcPr>
          <w:p>
            <w:pPr>
              <w:adjustRightInd w:val="0"/>
              <w:snapToGrid w:val="0"/>
              <w:spacing w:line="360" w:lineRule="auto"/>
              <w:jc w:val="left"/>
              <w:rPr>
                <w:rFonts w:hint="eastAsia" w:ascii="宋体" w:hAnsi="宋体" w:eastAsia="宋体"/>
                <w:sz w:val="22"/>
                <w:szCs w:val="21"/>
                <w:lang w:eastAsia="zh-CN"/>
              </w:rPr>
            </w:pPr>
            <w:r>
              <w:rPr>
                <w:rFonts w:hint="eastAsia" w:ascii="宋体" w:hAnsi="宋体"/>
                <w:sz w:val="22"/>
                <w:szCs w:val="21"/>
              </w:rPr>
              <w:t>样本为新鲜血清</w:t>
            </w:r>
            <w:r>
              <w:rPr>
                <w:rFonts w:hint="eastAsia" w:ascii="宋体" w:hAnsi="宋体"/>
                <w:sz w:val="22"/>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947" w:type="dxa"/>
            <w:vAlign w:val="center"/>
          </w:tcPr>
          <w:p>
            <w:pPr>
              <w:adjustRightInd w:val="0"/>
              <w:snapToGrid w:val="0"/>
              <w:spacing w:line="360" w:lineRule="auto"/>
              <w:jc w:val="center"/>
              <w:rPr>
                <w:rFonts w:hint="default" w:ascii="宋体" w:hAnsi="宋体" w:eastAsia="宋体"/>
                <w:sz w:val="22"/>
                <w:szCs w:val="21"/>
                <w:lang w:val="en-US" w:eastAsia="zh-CN"/>
              </w:rPr>
            </w:pPr>
            <w:r>
              <w:rPr>
                <w:rFonts w:hint="eastAsia" w:ascii="宋体" w:hAnsi="宋体" w:eastAsia="宋体"/>
                <w:sz w:val="22"/>
                <w:szCs w:val="21"/>
                <w:lang w:val="en-US" w:eastAsia="zh-CN"/>
              </w:rPr>
              <w:t>5</w:t>
            </w:r>
          </w:p>
        </w:tc>
        <w:tc>
          <w:tcPr>
            <w:tcW w:w="1843" w:type="dxa"/>
            <w:vAlign w:val="center"/>
          </w:tcPr>
          <w:p>
            <w:pPr>
              <w:adjustRightInd w:val="0"/>
              <w:snapToGrid w:val="0"/>
              <w:spacing w:line="360" w:lineRule="auto"/>
              <w:jc w:val="center"/>
              <w:rPr>
                <w:rFonts w:ascii="宋体" w:hAnsi="宋体"/>
                <w:sz w:val="22"/>
                <w:szCs w:val="21"/>
              </w:rPr>
            </w:pPr>
            <w:r>
              <w:rPr>
                <w:rFonts w:hint="eastAsia" w:ascii="宋体" w:hAnsi="宋体"/>
                <w:sz w:val="22"/>
                <w:szCs w:val="21"/>
              </w:rPr>
              <w:t>分析灵敏度</w:t>
            </w:r>
          </w:p>
        </w:tc>
        <w:tc>
          <w:tcPr>
            <w:tcW w:w="6487" w:type="dxa"/>
            <w:vAlign w:val="center"/>
          </w:tcPr>
          <w:p>
            <w:pPr>
              <w:adjustRightInd w:val="0"/>
              <w:snapToGrid w:val="0"/>
              <w:spacing w:line="360" w:lineRule="auto"/>
              <w:jc w:val="left"/>
              <w:rPr>
                <w:rFonts w:hint="eastAsia" w:ascii="宋体" w:hAnsi="宋体"/>
                <w:sz w:val="22"/>
                <w:szCs w:val="21"/>
              </w:rPr>
            </w:pPr>
            <w:r>
              <w:rPr>
                <w:rFonts w:hint="eastAsia" w:ascii="宋体" w:hAnsi="宋体"/>
                <w:sz w:val="22"/>
                <w:szCs w:val="21"/>
              </w:rPr>
              <w:t>测定浓度为 10.00 µg/mL 的甘胆酸样本时，分析灵敏</w:t>
            </w:r>
          </w:p>
          <w:p>
            <w:pPr>
              <w:adjustRightInd w:val="0"/>
              <w:snapToGrid w:val="0"/>
              <w:spacing w:line="360" w:lineRule="auto"/>
              <w:jc w:val="left"/>
              <w:rPr>
                <w:rFonts w:hint="eastAsia" w:ascii="宋体" w:hAnsi="宋体" w:eastAsia="宋体"/>
                <w:sz w:val="22"/>
                <w:szCs w:val="21"/>
                <w:lang w:eastAsia="zh-CN"/>
              </w:rPr>
            </w:pPr>
            <w:r>
              <w:rPr>
                <w:rFonts w:hint="eastAsia" w:ascii="宋体" w:hAnsi="宋体"/>
                <w:sz w:val="22"/>
                <w:szCs w:val="21"/>
              </w:rPr>
              <w:t>度≥0.002</w:t>
            </w:r>
            <w:r>
              <w:rPr>
                <w:rFonts w:hint="eastAsia" w:ascii="宋体" w:hAnsi="宋体"/>
                <w:sz w:val="22"/>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947" w:type="dxa"/>
            <w:vAlign w:val="center"/>
          </w:tcPr>
          <w:p>
            <w:pPr>
              <w:adjustRightInd w:val="0"/>
              <w:snapToGrid w:val="0"/>
              <w:spacing w:line="360" w:lineRule="auto"/>
              <w:jc w:val="center"/>
              <w:rPr>
                <w:rFonts w:hint="default" w:ascii="宋体" w:hAnsi="宋体" w:eastAsia="宋体"/>
                <w:sz w:val="22"/>
                <w:szCs w:val="21"/>
                <w:lang w:val="en-US" w:eastAsia="zh-CN"/>
              </w:rPr>
            </w:pPr>
            <w:r>
              <w:rPr>
                <w:rFonts w:hint="eastAsia" w:ascii="宋体" w:hAnsi="宋体" w:eastAsia="宋体"/>
                <w:sz w:val="22"/>
                <w:szCs w:val="21"/>
                <w:lang w:val="en-US" w:eastAsia="zh-CN"/>
              </w:rPr>
              <w:t>6</w:t>
            </w:r>
          </w:p>
        </w:tc>
        <w:tc>
          <w:tcPr>
            <w:tcW w:w="1843" w:type="dxa"/>
            <w:vAlign w:val="center"/>
          </w:tcPr>
          <w:p>
            <w:pPr>
              <w:adjustRightInd w:val="0"/>
              <w:snapToGrid w:val="0"/>
              <w:spacing w:line="360" w:lineRule="auto"/>
              <w:jc w:val="center"/>
              <w:rPr>
                <w:rFonts w:ascii="宋体" w:hAnsi="宋体"/>
                <w:sz w:val="22"/>
                <w:szCs w:val="21"/>
              </w:rPr>
            </w:pPr>
            <w:r>
              <w:rPr>
                <w:rFonts w:hint="eastAsia" w:ascii="宋体" w:hAnsi="宋体"/>
                <w:sz w:val="22"/>
                <w:szCs w:val="21"/>
              </w:rPr>
              <w:t>准确度要求</w:t>
            </w:r>
          </w:p>
        </w:tc>
        <w:tc>
          <w:tcPr>
            <w:tcW w:w="6487" w:type="dxa"/>
            <w:vAlign w:val="center"/>
          </w:tcPr>
          <w:p>
            <w:pPr>
              <w:adjustRightInd w:val="0"/>
              <w:snapToGrid w:val="0"/>
              <w:spacing w:line="360" w:lineRule="auto"/>
              <w:jc w:val="left"/>
              <w:rPr>
                <w:rFonts w:hint="eastAsia" w:ascii="宋体" w:hAnsi="宋体" w:eastAsia="宋体"/>
                <w:sz w:val="22"/>
                <w:szCs w:val="21"/>
                <w:lang w:eastAsia="zh-CN"/>
              </w:rPr>
            </w:pPr>
            <w:r>
              <w:rPr>
                <w:rFonts w:hint="eastAsia" w:ascii="宋体" w:hAnsi="宋体"/>
                <w:sz w:val="22"/>
                <w:szCs w:val="21"/>
              </w:rPr>
              <w:t>偏差B≤5.0%（须提供型式检测报告结果证明）</w:t>
            </w:r>
            <w:r>
              <w:rPr>
                <w:rFonts w:hint="eastAsia" w:ascii="宋体" w:hAnsi="宋体"/>
                <w:sz w:val="22"/>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947" w:type="dxa"/>
            <w:vAlign w:val="center"/>
          </w:tcPr>
          <w:p>
            <w:pPr>
              <w:adjustRightInd w:val="0"/>
              <w:snapToGrid w:val="0"/>
              <w:spacing w:line="360" w:lineRule="auto"/>
              <w:jc w:val="center"/>
              <w:rPr>
                <w:rFonts w:hint="default" w:ascii="宋体" w:hAnsi="宋体" w:eastAsia="宋体"/>
                <w:sz w:val="22"/>
                <w:szCs w:val="21"/>
                <w:lang w:val="en-US" w:eastAsia="zh-CN"/>
              </w:rPr>
            </w:pPr>
            <w:r>
              <w:rPr>
                <w:rFonts w:hint="eastAsia" w:ascii="宋体" w:hAnsi="宋体" w:eastAsia="宋体"/>
                <w:sz w:val="22"/>
                <w:szCs w:val="21"/>
                <w:lang w:val="en-US" w:eastAsia="zh-CN"/>
              </w:rPr>
              <w:t>7</w:t>
            </w:r>
          </w:p>
        </w:tc>
        <w:tc>
          <w:tcPr>
            <w:tcW w:w="1843" w:type="dxa"/>
            <w:vAlign w:val="center"/>
          </w:tcPr>
          <w:p>
            <w:pPr>
              <w:adjustRightInd w:val="0"/>
              <w:snapToGrid w:val="0"/>
              <w:spacing w:line="360" w:lineRule="auto"/>
              <w:jc w:val="center"/>
              <w:rPr>
                <w:rFonts w:ascii="宋体" w:hAnsi="宋体"/>
                <w:sz w:val="22"/>
                <w:szCs w:val="21"/>
              </w:rPr>
            </w:pPr>
            <w:r>
              <w:rPr>
                <w:rFonts w:hint="eastAsia" w:ascii="宋体" w:hAnsi="宋体"/>
                <w:sz w:val="22"/>
                <w:szCs w:val="21"/>
              </w:rPr>
              <w:t>精密度要求</w:t>
            </w:r>
          </w:p>
        </w:tc>
        <w:tc>
          <w:tcPr>
            <w:tcW w:w="6487" w:type="dxa"/>
            <w:vAlign w:val="center"/>
          </w:tcPr>
          <w:p>
            <w:pPr>
              <w:adjustRightInd w:val="0"/>
              <w:snapToGrid w:val="0"/>
              <w:spacing w:line="360" w:lineRule="auto"/>
              <w:jc w:val="left"/>
              <w:rPr>
                <w:rFonts w:hint="eastAsia" w:ascii="宋体" w:hAnsi="宋体" w:eastAsia="宋体"/>
                <w:sz w:val="22"/>
                <w:szCs w:val="21"/>
                <w:lang w:eastAsia="zh-CN"/>
              </w:rPr>
            </w:pPr>
            <w:r>
              <w:rPr>
                <w:rFonts w:hint="eastAsia" w:ascii="宋体" w:hAnsi="宋体"/>
                <w:sz w:val="22"/>
                <w:szCs w:val="21"/>
              </w:rPr>
              <w:t>批内CV≤5%，批间相对偏差R≤5%（须提供检测所盖章型式检测报告结果证明）</w:t>
            </w:r>
            <w:r>
              <w:rPr>
                <w:rFonts w:hint="eastAsia" w:ascii="宋体" w:hAnsi="宋体"/>
                <w:sz w:val="22"/>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jc w:val="center"/>
        </w:trPr>
        <w:tc>
          <w:tcPr>
            <w:tcW w:w="947" w:type="dxa"/>
            <w:vAlign w:val="center"/>
          </w:tcPr>
          <w:p>
            <w:pPr>
              <w:adjustRightInd w:val="0"/>
              <w:snapToGrid w:val="0"/>
              <w:spacing w:line="360" w:lineRule="auto"/>
              <w:jc w:val="center"/>
              <w:rPr>
                <w:rFonts w:hint="default" w:ascii="宋体" w:hAnsi="宋体" w:eastAsia="宋体"/>
                <w:sz w:val="22"/>
                <w:szCs w:val="21"/>
                <w:lang w:val="en-US" w:eastAsia="zh-CN"/>
              </w:rPr>
            </w:pPr>
            <w:r>
              <w:rPr>
                <w:rFonts w:hint="eastAsia" w:ascii="宋体" w:hAnsi="宋体" w:eastAsia="宋体"/>
                <w:sz w:val="22"/>
                <w:szCs w:val="21"/>
                <w:lang w:val="en-US" w:eastAsia="zh-CN"/>
              </w:rPr>
              <w:t>8</w:t>
            </w:r>
          </w:p>
        </w:tc>
        <w:tc>
          <w:tcPr>
            <w:tcW w:w="1843" w:type="dxa"/>
            <w:vAlign w:val="center"/>
          </w:tcPr>
          <w:p>
            <w:pPr>
              <w:adjustRightInd w:val="0"/>
              <w:snapToGrid w:val="0"/>
              <w:spacing w:line="360" w:lineRule="auto"/>
              <w:jc w:val="center"/>
              <w:rPr>
                <w:rFonts w:ascii="宋体" w:hAnsi="宋体"/>
                <w:sz w:val="22"/>
                <w:szCs w:val="21"/>
              </w:rPr>
            </w:pPr>
            <w:r>
              <w:rPr>
                <w:rFonts w:hint="eastAsia" w:ascii="宋体" w:hAnsi="宋体"/>
                <w:sz w:val="22"/>
                <w:szCs w:val="21"/>
              </w:rPr>
              <w:t>校准品要求</w:t>
            </w:r>
          </w:p>
        </w:tc>
        <w:tc>
          <w:tcPr>
            <w:tcW w:w="6487" w:type="dxa"/>
            <w:vAlign w:val="center"/>
          </w:tcPr>
          <w:p>
            <w:pPr>
              <w:adjustRightInd w:val="0"/>
              <w:snapToGrid w:val="0"/>
              <w:spacing w:line="360" w:lineRule="auto"/>
              <w:jc w:val="left"/>
              <w:rPr>
                <w:rFonts w:hint="eastAsia" w:ascii="宋体" w:hAnsi="宋体" w:eastAsia="宋体"/>
                <w:sz w:val="22"/>
                <w:szCs w:val="21"/>
                <w:lang w:eastAsia="zh-CN"/>
              </w:rPr>
            </w:pPr>
            <w:r>
              <w:rPr>
                <w:rFonts w:hint="eastAsia" w:ascii="宋体" w:hAnsi="宋体"/>
                <w:sz w:val="22"/>
                <w:szCs w:val="21"/>
              </w:rPr>
              <w:t>准确度 B≤7.0%；瓶间均一性 CV≤5.0%。（须提供检测所盖章型式检测报告结果证明）</w:t>
            </w:r>
            <w:r>
              <w:rPr>
                <w:rFonts w:hint="eastAsia" w:ascii="宋体" w:hAnsi="宋体"/>
                <w:sz w:val="22"/>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jc w:val="center"/>
        </w:trPr>
        <w:tc>
          <w:tcPr>
            <w:tcW w:w="947" w:type="dxa"/>
            <w:vAlign w:val="center"/>
          </w:tcPr>
          <w:p>
            <w:pPr>
              <w:adjustRightInd w:val="0"/>
              <w:snapToGrid w:val="0"/>
              <w:spacing w:line="360" w:lineRule="auto"/>
              <w:jc w:val="center"/>
              <w:rPr>
                <w:rFonts w:hint="default" w:ascii="宋体" w:hAnsi="宋体" w:eastAsia="宋体"/>
                <w:sz w:val="22"/>
                <w:szCs w:val="21"/>
                <w:lang w:val="en-US" w:eastAsia="zh-CN"/>
              </w:rPr>
            </w:pPr>
            <w:r>
              <w:rPr>
                <w:rFonts w:hint="eastAsia" w:ascii="宋体" w:hAnsi="宋体" w:eastAsia="宋体"/>
                <w:sz w:val="22"/>
                <w:szCs w:val="21"/>
                <w:lang w:val="en-US" w:eastAsia="zh-CN"/>
              </w:rPr>
              <w:t>9</w:t>
            </w:r>
          </w:p>
        </w:tc>
        <w:tc>
          <w:tcPr>
            <w:tcW w:w="1843" w:type="dxa"/>
            <w:vAlign w:val="center"/>
          </w:tcPr>
          <w:p>
            <w:pPr>
              <w:adjustRightInd w:val="0"/>
              <w:snapToGrid w:val="0"/>
              <w:spacing w:line="360" w:lineRule="auto"/>
              <w:jc w:val="center"/>
              <w:rPr>
                <w:rFonts w:ascii="宋体" w:hAnsi="宋体"/>
                <w:sz w:val="22"/>
                <w:szCs w:val="21"/>
              </w:rPr>
            </w:pPr>
            <w:r>
              <w:rPr>
                <w:rFonts w:hint="eastAsia" w:ascii="宋体" w:hAnsi="宋体"/>
                <w:sz w:val="22"/>
                <w:szCs w:val="21"/>
              </w:rPr>
              <w:t>质控品要求</w:t>
            </w:r>
          </w:p>
        </w:tc>
        <w:tc>
          <w:tcPr>
            <w:tcW w:w="6487" w:type="dxa"/>
            <w:vAlign w:val="center"/>
          </w:tcPr>
          <w:p>
            <w:pPr>
              <w:adjustRightInd w:val="0"/>
              <w:snapToGrid w:val="0"/>
              <w:spacing w:line="360" w:lineRule="auto"/>
              <w:jc w:val="left"/>
              <w:rPr>
                <w:rFonts w:hint="eastAsia" w:ascii="宋体" w:hAnsi="宋体" w:eastAsia="宋体"/>
                <w:sz w:val="22"/>
                <w:szCs w:val="21"/>
                <w:lang w:eastAsia="zh-CN"/>
              </w:rPr>
            </w:pPr>
            <w:r>
              <w:rPr>
                <w:rFonts w:hint="eastAsia" w:ascii="宋体" w:hAnsi="宋体"/>
                <w:sz w:val="22"/>
                <w:szCs w:val="21"/>
              </w:rPr>
              <w:t>准确度 B≤7.0%；瓶间均一性 CV≤5.0%。（须提供检测所盖章型式检测报告结果证明）</w:t>
            </w:r>
            <w:r>
              <w:rPr>
                <w:rFonts w:hint="eastAsia" w:ascii="宋体" w:hAnsi="宋体"/>
                <w:sz w:val="22"/>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0" w:hRule="atLeast"/>
          <w:jc w:val="center"/>
        </w:trPr>
        <w:tc>
          <w:tcPr>
            <w:tcW w:w="947" w:type="dxa"/>
            <w:vAlign w:val="center"/>
          </w:tcPr>
          <w:p>
            <w:pPr>
              <w:adjustRightInd w:val="0"/>
              <w:snapToGrid w:val="0"/>
              <w:spacing w:line="360" w:lineRule="auto"/>
              <w:jc w:val="center"/>
              <w:rPr>
                <w:rFonts w:hint="default" w:ascii="宋体" w:hAnsi="宋体" w:eastAsia="宋体"/>
                <w:sz w:val="22"/>
                <w:szCs w:val="21"/>
                <w:lang w:val="en-US" w:eastAsia="zh-CN"/>
              </w:rPr>
            </w:pPr>
            <w:r>
              <w:rPr>
                <w:rFonts w:hint="eastAsia" w:ascii="宋体" w:hAnsi="宋体" w:eastAsia="宋体"/>
                <w:sz w:val="22"/>
                <w:szCs w:val="21"/>
                <w:lang w:val="en-US" w:eastAsia="zh-CN"/>
              </w:rPr>
              <w:t>10</w:t>
            </w:r>
          </w:p>
        </w:tc>
        <w:tc>
          <w:tcPr>
            <w:tcW w:w="1843" w:type="dxa"/>
            <w:vAlign w:val="center"/>
          </w:tcPr>
          <w:p>
            <w:pPr>
              <w:adjustRightInd w:val="0"/>
              <w:snapToGrid w:val="0"/>
              <w:spacing w:line="360" w:lineRule="auto"/>
              <w:jc w:val="center"/>
              <w:rPr>
                <w:rFonts w:ascii="宋体" w:hAnsi="宋体"/>
                <w:sz w:val="22"/>
                <w:szCs w:val="21"/>
              </w:rPr>
            </w:pPr>
            <w:r>
              <w:rPr>
                <w:rFonts w:hint="eastAsia" w:ascii="宋体" w:hAnsi="宋体"/>
                <w:sz w:val="22"/>
                <w:szCs w:val="21"/>
              </w:rPr>
              <w:t>抗干扰能力</w:t>
            </w:r>
          </w:p>
        </w:tc>
        <w:tc>
          <w:tcPr>
            <w:tcW w:w="6487" w:type="dxa"/>
            <w:vAlign w:val="center"/>
          </w:tcPr>
          <w:p>
            <w:pPr>
              <w:adjustRightInd w:val="0"/>
              <w:snapToGrid w:val="0"/>
              <w:spacing w:line="360" w:lineRule="auto"/>
              <w:jc w:val="left"/>
              <w:rPr>
                <w:rFonts w:hint="eastAsia" w:ascii="宋体" w:hAnsi="宋体" w:eastAsia="宋体"/>
                <w:sz w:val="22"/>
                <w:szCs w:val="21"/>
                <w:lang w:eastAsia="zh-CN"/>
              </w:rPr>
            </w:pPr>
            <w:r>
              <w:rPr>
                <w:rFonts w:hint="eastAsia" w:ascii="宋体" w:hAnsi="宋体"/>
                <w:sz w:val="22"/>
                <w:szCs w:val="21"/>
              </w:rPr>
              <w:t>对检测结果无影响：胆红素≤855 µmol/L，血红蛋白≤0.5 g/L，维生素 C≤6 mmol/L。特异性好，与体内外常见物质和药物均无交叉反应</w:t>
            </w:r>
            <w:r>
              <w:rPr>
                <w:rFonts w:hint="eastAsia" w:ascii="宋体" w:hAnsi="宋体"/>
                <w:sz w:val="22"/>
                <w:szCs w:val="21"/>
                <w:lang w:eastAsia="zh-CN"/>
              </w:rPr>
              <w:t>。</w:t>
            </w:r>
          </w:p>
        </w:tc>
      </w:tr>
    </w:tbl>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pStyle w:val="56"/>
        <w:numPr>
          <w:ilvl w:val="0"/>
          <w:numId w:val="0"/>
        </w:numPr>
        <w:spacing w:line="360" w:lineRule="auto"/>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包件五：</w:t>
      </w:r>
    </w:p>
    <w:p>
      <w:pPr>
        <w:pStyle w:val="56"/>
        <w:numPr>
          <w:ilvl w:val="0"/>
          <w:numId w:val="11"/>
        </w:numPr>
        <w:spacing w:line="360" w:lineRule="auto"/>
        <w:ind w:left="-420" w:leftChars="0" w:firstLine="420" w:firstLineChars="0"/>
        <w:rPr>
          <w:rFonts w:hint="eastAsia" w:ascii="宋体" w:hAnsi="宋体" w:eastAsia="宋体"/>
          <w:b w:val="0"/>
          <w:bCs w:val="0"/>
          <w:sz w:val="24"/>
          <w:szCs w:val="24"/>
          <w:lang w:val="en-US" w:eastAsia="zh-CN"/>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b w:val="0"/>
          <w:bCs w:val="0"/>
          <w:sz w:val="24"/>
          <w:szCs w:val="24"/>
          <w:lang w:val="en-US" w:eastAsia="zh-CN"/>
        </w:rPr>
        <w:t>：呼吸道三项抗原检测</w:t>
      </w:r>
    </w:p>
    <w:p>
      <w:pPr>
        <w:pStyle w:val="56"/>
        <w:numPr>
          <w:ilvl w:val="0"/>
          <w:numId w:val="11"/>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6"/>
        <w:numPr>
          <w:ilvl w:val="0"/>
          <w:numId w:val="11"/>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6"/>
        <w:numPr>
          <w:ilvl w:val="0"/>
          <w:numId w:val="11"/>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6"/>
        <w:widowControl w:val="0"/>
        <w:numPr>
          <w:ilvl w:val="0"/>
          <w:numId w:val="11"/>
        </w:numPr>
        <w:spacing w:line="360" w:lineRule="auto"/>
        <w:ind w:left="-420" w:leftChars="0" w:firstLine="420" w:firstLineChars="0"/>
        <w:jc w:val="both"/>
        <w:rPr>
          <w:rFonts w:hint="eastAsia" w:ascii="宋体" w:hAnsi="宋体" w:eastAsia="宋体"/>
          <w:b w:val="0"/>
          <w:bCs w:val="0"/>
          <w:sz w:val="24"/>
          <w:szCs w:val="24"/>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★投标人需响应医院SPD项目相关要求,并与上药医疗供应链管理(上海)有限公司签署相关SPD协议。</w:t>
      </w:r>
    </w:p>
    <w:p>
      <w:pPr>
        <w:numPr>
          <w:ilvl w:val="0"/>
          <w:numId w:val="12"/>
        </w:numPr>
        <w:spacing w:line="360" w:lineRule="auto"/>
        <w:ind w:leftChars="0"/>
        <w:rPr>
          <w:rFonts w:hint="eastAsia" w:ascii="宋体" w:hAnsi="宋体" w:eastAsia="宋体" w:cs="宋体"/>
          <w:sz w:val="24"/>
          <w:szCs w:val="24"/>
          <w:lang w:val="en-US" w:eastAsia="zh-CN"/>
        </w:rPr>
      </w:pPr>
      <w:r>
        <w:rPr>
          <w:rFonts w:hint="eastAsia"/>
        </w:rPr>
        <w:t>呼吸道合胞病毒抗原检测试剂盒</w:t>
      </w:r>
    </w:p>
    <w:tbl>
      <w:tblPr>
        <w:tblStyle w:val="32"/>
        <w:tblW w:w="9381" w:type="dxa"/>
        <w:jc w:val="center"/>
        <w:tblInd w:w="0" w:type="dxa"/>
        <w:tblLayout w:type="fixed"/>
        <w:tblCellMar>
          <w:top w:w="0" w:type="dxa"/>
          <w:left w:w="108" w:type="dxa"/>
          <w:bottom w:w="0" w:type="dxa"/>
          <w:right w:w="108" w:type="dxa"/>
        </w:tblCellMar>
      </w:tblPr>
      <w:tblGrid>
        <w:gridCol w:w="839"/>
        <w:gridCol w:w="2447"/>
        <w:gridCol w:w="6095"/>
      </w:tblGrid>
      <w:tr>
        <w:tblPrEx>
          <w:tblLayout w:type="fixed"/>
          <w:tblCellMar>
            <w:top w:w="0" w:type="dxa"/>
            <w:left w:w="108" w:type="dxa"/>
            <w:bottom w:w="0" w:type="dxa"/>
            <w:right w:w="108" w:type="dxa"/>
          </w:tblCellMar>
        </w:tblPrEx>
        <w:trPr>
          <w:trHeight w:val="63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序号</w:t>
            </w:r>
          </w:p>
        </w:tc>
        <w:tc>
          <w:tcPr>
            <w:tcW w:w="2447" w:type="dxa"/>
            <w:tcBorders>
              <w:top w:val="single" w:color="auto" w:sz="4" w:space="0"/>
              <w:left w:val="nil"/>
              <w:bottom w:val="single" w:color="auto" w:sz="4" w:space="0"/>
              <w:right w:val="single" w:color="auto" w:sz="4" w:space="0"/>
            </w:tcBorders>
            <w:vAlign w:val="center"/>
          </w:tcPr>
          <w:p>
            <w:pPr>
              <w:widowControl/>
              <w:ind w:firstLine="210" w:firstLineChars="10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名称</w:t>
            </w:r>
          </w:p>
        </w:tc>
        <w:tc>
          <w:tcPr>
            <w:tcW w:w="6095" w:type="dxa"/>
            <w:tcBorders>
              <w:top w:val="single" w:color="auto" w:sz="4" w:space="0"/>
              <w:left w:val="nil"/>
              <w:bottom w:val="single" w:color="auto" w:sz="4" w:space="0"/>
              <w:right w:val="single" w:color="auto" w:sz="4" w:space="0"/>
            </w:tcBorders>
            <w:vAlign w:val="center"/>
          </w:tcPr>
          <w:p>
            <w:pPr>
              <w:widowControl/>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参数</w:t>
            </w:r>
          </w:p>
        </w:tc>
      </w:tr>
      <w:tr>
        <w:tblPrEx>
          <w:tblLayout w:type="fixed"/>
          <w:tblCellMar>
            <w:top w:w="0" w:type="dxa"/>
            <w:left w:w="108" w:type="dxa"/>
            <w:bottom w:w="0" w:type="dxa"/>
            <w:right w:w="108" w:type="dxa"/>
          </w:tblCellMar>
        </w:tblPrEx>
        <w:trPr>
          <w:trHeight w:val="630" w:hRule="atLeast"/>
          <w:jc w:val="center"/>
        </w:trPr>
        <w:tc>
          <w:tcPr>
            <w:tcW w:w="839" w:type="dxa"/>
            <w:tcBorders>
              <w:top w:val="nil"/>
              <w:left w:val="single" w:color="auto" w:sz="8" w:space="0"/>
              <w:bottom w:val="single" w:color="auto" w:sz="4" w:space="0"/>
              <w:right w:val="single" w:color="auto" w:sz="4" w:space="0"/>
            </w:tcBorders>
            <w:noWrap/>
            <w:vAlign w:val="center"/>
          </w:tcPr>
          <w:p>
            <w:pPr>
              <w:widowControl/>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2447" w:type="dxa"/>
            <w:tcBorders>
              <w:top w:val="nil"/>
              <w:left w:val="nil"/>
              <w:bottom w:val="single" w:color="auto" w:sz="4" w:space="0"/>
              <w:right w:val="single" w:color="auto" w:sz="4" w:space="0"/>
            </w:tcBorders>
            <w:noWrap/>
            <w:vAlign w:val="center"/>
          </w:tcPr>
          <w:p>
            <w:pPr>
              <w:widowControl/>
              <w:jc w:val="center"/>
              <w:rPr>
                <w:color w:val="000000" w:themeColor="text1"/>
                <w:sz w:val="21"/>
                <w:szCs w:val="21"/>
                <w14:textFill>
                  <w14:solidFill>
                    <w14:schemeClr w14:val="tx1"/>
                  </w14:solidFill>
                </w14:textFill>
              </w:rPr>
            </w:pPr>
            <w:r>
              <w:rPr>
                <w:rFonts w:hint="eastAsia" w:ascii="宋体" w:cs="宋体"/>
                <w:sz w:val="21"/>
                <w:szCs w:val="21"/>
              </w:rPr>
              <w:t>有效期及储存条件</w:t>
            </w:r>
          </w:p>
        </w:tc>
        <w:tc>
          <w:tcPr>
            <w:tcW w:w="6095" w:type="dxa"/>
            <w:tcBorders>
              <w:top w:val="nil"/>
              <w:left w:val="nil"/>
              <w:bottom w:val="single" w:color="auto" w:sz="4" w:space="0"/>
              <w:right w:val="single" w:color="auto" w:sz="4" w:space="0"/>
            </w:tcBorders>
            <w:noWrap/>
            <w:vAlign w:val="center"/>
          </w:tcPr>
          <w:p>
            <w:pPr>
              <w:widowControl/>
              <w:rPr>
                <w:color w:val="000000" w:themeColor="text1"/>
                <w:sz w:val="21"/>
                <w:szCs w:val="21"/>
                <w14:textFill>
                  <w14:solidFill>
                    <w14:schemeClr w14:val="tx1"/>
                  </w14:solidFill>
                </w14:textFill>
              </w:rPr>
            </w:pPr>
            <w:r>
              <w:rPr>
                <w:rFonts w:hint="eastAsia" w:ascii="宋体" w:cs="宋体"/>
                <w:sz w:val="21"/>
                <w:szCs w:val="21"/>
                <w:lang w:val="en-US" w:eastAsia="zh-CN"/>
              </w:rPr>
              <w:t>≥</w:t>
            </w:r>
            <w:r>
              <w:rPr>
                <w:rFonts w:ascii="宋体" w:cs="宋体"/>
                <w:sz w:val="21"/>
                <w:szCs w:val="21"/>
              </w:rPr>
              <w:t>18</w:t>
            </w:r>
            <w:r>
              <w:rPr>
                <w:rFonts w:hint="eastAsia" w:ascii="宋体" w:cs="宋体"/>
                <w:sz w:val="21"/>
                <w:szCs w:val="21"/>
              </w:rPr>
              <w:t>个月</w:t>
            </w:r>
          </w:p>
        </w:tc>
      </w:tr>
      <w:tr>
        <w:tblPrEx>
          <w:tblLayout w:type="fixed"/>
          <w:tblCellMar>
            <w:top w:w="0" w:type="dxa"/>
            <w:left w:w="108" w:type="dxa"/>
            <w:bottom w:w="0" w:type="dxa"/>
            <w:right w:w="108" w:type="dxa"/>
          </w:tblCellMar>
        </w:tblPrEx>
        <w:trPr>
          <w:trHeight w:val="630" w:hRule="atLeast"/>
          <w:jc w:val="center"/>
        </w:trPr>
        <w:tc>
          <w:tcPr>
            <w:tcW w:w="839" w:type="dxa"/>
            <w:tcBorders>
              <w:top w:val="nil"/>
              <w:left w:val="single" w:color="auto" w:sz="8" w:space="0"/>
              <w:bottom w:val="single" w:color="auto" w:sz="4" w:space="0"/>
              <w:right w:val="single" w:color="auto" w:sz="4" w:space="0"/>
            </w:tcBorders>
            <w:noWrap/>
            <w:vAlign w:val="center"/>
          </w:tcPr>
          <w:p>
            <w:pPr>
              <w:widowControl/>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c>
          <w:tcPr>
            <w:tcW w:w="2447" w:type="dxa"/>
            <w:tcBorders>
              <w:top w:val="nil"/>
              <w:left w:val="nil"/>
              <w:bottom w:val="single" w:color="auto" w:sz="4" w:space="0"/>
              <w:right w:val="single" w:color="auto" w:sz="4" w:space="0"/>
            </w:tcBorders>
            <w:noWrap/>
            <w:vAlign w:val="center"/>
          </w:tcPr>
          <w:p>
            <w:pPr>
              <w:widowControl/>
              <w:jc w:val="center"/>
              <w:rPr>
                <w:rFonts w:ascii="宋体" w:cs="宋体"/>
                <w:sz w:val="21"/>
                <w:szCs w:val="21"/>
              </w:rPr>
            </w:pPr>
            <w:r>
              <w:rPr>
                <w:rFonts w:hint="eastAsia" w:ascii="宋体" w:hAnsi="宋体" w:cs="宋体"/>
                <w:sz w:val="21"/>
                <w:szCs w:val="21"/>
              </w:rPr>
              <w:t>最低检出限</w:t>
            </w:r>
          </w:p>
        </w:tc>
        <w:tc>
          <w:tcPr>
            <w:tcW w:w="6095" w:type="dxa"/>
            <w:tcBorders>
              <w:top w:val="nil"/>
              <w:left w:val="nil"/>
              <w:bottom w:val="single" w:color="auto" w:sz="4" w:space="0"/>
              <w:right w:val="single" w:color="auto" w:sz="4" w:space="0"/>
            </w:tcBorders>
            <w:noWrap/>
            <w:vAlign w:val="center"/>
          </w:tcPr>
          <w:p>
            <w:pPr>
              <w:widowControl/>
              <w:rPr>
                <w:rFonts w:ascii="宋体" w:cs="宋体"/>
                <w:sz w:val="21"/>
                <w:szCs w:val="21"/>
              </w:rPr>
            </w:pPr>
          </w:p>
        </w:tc>
      </w:tr>
      <w:tr>
        <w:tblPrEx>
          <w:tblLayout w:type="fixed"/>
          <w:tblCellMar>
            <w:top w:w="0" w:type="dxa"/>
            <w:left w:w="108" w:type="dxa"/>
            <w:bottom w:w="0" w:type="dxa"/>
            <w:right w:w="108" w:type="dxa"/>
          </w:tblCellMar>
        </w:tblPrEx>
        <w:trPr>
          <w:trHeight w:val="555" w:hRule="atLeast"/>
          <w:jc w:val="center"/>
        </w:trPr>
        <w:tc>
          <w:tcPr>
            <w:tcW w:w="839" w:type="dxa"/>
            <w:tcBorders>
              <w:top w:val="nil"/>
              <w:left w:val="single" w:color="auto" w:sz="8" w:space="0"/>
              <w:bottom w:val="single" w:color="auto" w:sz="4" w:space="0"/>
              <w:right w:val="single" w:color="auto" w:sz="4" w:space="0"/>
            </w:tcBorders>
            <w:noWrap/>
            <w:vAlign w:val="center"/>
          </w:tcPr>
          <w:p>
            <w:pPr>
              <w:widowControl/>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r>
              <w:rPr>
                <w:rFonts w:hint="eastAsia"/>
                <w:color w:val="000000" w:themeColor="text1"/>
                <w:sz w:val="21"/>
                <w:szCs w:val="21"/>
                <w14:textFill>
                  <w14:solidFill>
                    <w14:schemeClr w14:val="tx1"/>
                  </w14:solidFill>
                </w14:textFill>
              </w:rPr>
              <w:t>.1</w:t>
            </w:r>
          </w:p>
        </w:tc>
        <w:tc>
          <w:tcPr>
            <w:tcW w:w="2447" w:type="dxa"/>
            <w:tcBorders>
              <w:top w:val="nil"/>
              <w:left w:val="nil"/>
              <w:bottom w:val="single" w:color="auto" w:sz="4" w:space="0"/>
              <w:right w:val="single" w:color="auto" w:sz="4" w:space="0"/>
            </w:tcBorders>
            <w:noWrap/>
            <w:vAlign w:val="center"/>
          </w:tcPr>
          <w:p>
            <w:pPr>
              <w:widowControl/>
              <w:jc w:val="center"/>
              <w:rPr>
                <w:rFonts w:ascii="宋体" w:cs="宋体"/>
                <w:sz w:val="21"/>
                <w:szCs w:val="21"/>
              </w:rPr>
            </w:pPr>
            <w:r>
              <w:rPr>
                <w:rFonts w:hint="eastAsia" w:ascii="宋体" w:cs="宋体"/>
                <w:sz w:val="21"/>
                <w:szCs w:val="21"/>
              </w:rPr>
              <w:t>RSV A型（long株）</w:t>
            </w:r>
          </w:p>
        </w:tc>
        <w:tc>
          <w:tcPr>
            <w:tcW w:w="6095" w:type="dxa"/>
            <w:tcBorders>
              <w:top w:val="nil"/>
              <w:left w:val="nil"/>
              <w:bottom w:val="single" w:color="auto" w:sz="4" w:space="0"/>
              <w:right w:val="single" w:color="auto" w:sz="4" w:space="0"/>
            </w:tcBorders>
            <w:noWrap/>
            <w:vAlign w:val="center"/>
          </w:tcPr>
          <w:p>
            <w:pPr>
              <w:widowControl/>
              <w:rPr>
                <w:rFonts w:ascii="宋体" w:cs="宋体"/>
                <w:sz w:val="21"/>
                <w:szCs w:val="21"/>
              </w:rPr>
            </w:pPr>
            <w:r>
              <w:rPr>
                <w:rFonts w:hint="eastAsia"/>
                <w:sz w:val="21"/>
                <w:szCs w:val="21"/>
              </w:rPr>
              <w:t>最低检出限1.07×</w:t>
            </w:r>
            <w:r>
              <w:rPr>
                <w:sz w:val="21"/>
                <w:szCs w:val="21"/>
              </w:rPr>
              <w:t>10</w:t>
            </w:r>
            <w:r>
              <w:rPr>
                <w:position w:val="8"/>
                <w:sz w:val="21"/>
                <w:szCs w:val="21"/>
                <w:vertAlign w:val="superscript"/>
              </w:rPr>
              <w:t xml:space="preserve">4 </w:t>
            </w:r>
            <w:r>
              <w:rPr>
                <w:sz w:val="21"/>
                <w:szCs w:val="21"/>
              </w:rPr>
              <w:t>TCID</w:t>
            </w:r>
            <w:r>
              <w:rPr>
                <w:position w:val="-8"/>
                <w:sz w:val="21"/>
                <w:szCs w:val="21"/>
                <w:vertAlign w:val="subscript"/>
              </w:rPr>
              <w:t xml:space="preserve">50 </w:t>
            </w:r>
            <w:r>
              <w:rPr>
                <w:sz w:val="21"/>
                <w:szCs w:val="21"/>
              </w:rPr>
              <w:t xml:space="preserve">/ </w:t>
            </w:r>
            <w:r>
              <w:rPr>
                <w:rFonts w:hint="eastAsia"/>
                <w:sz w:val="21"/>
                <w:szCs w:val="21"/>
              </w:rPr>
              <w:t>ml</w:t>
            </w:r>
          </w:p>
        </w:tc>
      </w:tr>
      <w:tr>
        <w:tblPrEx>
          <w:tblLayout w:type="fixed"/>
          <w:tblCellMar>
            <w:top w:w="0" w:type="dxa"/>
            <w:left w:w="108" w:type="dxa"/>
            <w:bottom w:w="0" w:type="dxa"/>
            <w:right w:w="108" w:type="dxa"/>
          </w:tblCellMar>
        </w:tblPrEx>
        <w:trPr>
          <w:trHeight w:val="555" w:hRule="atLeast"/>
          <w:jc w:val="center"/>
        </w:trPr>
        <w:tc>
          <w:tcPr>
            <w:tcW w:w="839" w:type="dxa"/>
            <w:tcBorders>
              <w:top w:val="nil"/>
              <w:left w:val="single" w:color="auto" w:sz="8" w:space="0"/>
              <w:bottom w:val="single" w:color="auto" w:sz="4" w:space="0"/>
              <w:right w:val="single" w:color="auto" w:sz="4" w:space="0"/>
            </w:tcBorders>
            <w:noWrap/>
            <w:vAlign w:val="center"/>
          </w:tcPr>
          <w:p>
            <w:pPr>
              <w:widowControl/>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r>
              <w:rPr>
                <w:rFonts w:hint="eastAsia"/>
                <w:color w:val="000000" w:themeColor="text1"/>
                <w:sz w:val="21"/>
                <w:szCs w:val="21"/>
                <w14:textFill>
                  <w14:solidFill>
                    <w14:schemeClr w14:val="tx1"/>
                  </w14:solidFill>
                </w14:textFill>
              </w:rPr>
              <w:t>.2</w:t>
            </w:r>
          </w:p>
        </w:tc>
        <w:tc>
          <w:tcPr>
            <w:tcW w:w="2447" w:type="dxa"/>
            <w:tcBorders>
              <w:top w:val="nil"/>
              <w:left w:val="nil"/>
              <w:bottom w:val="single" w:color="auto" w:sz="4" w:space="0"/>
              <w:right w:val="single" w:color="auto" w:sz="4" w:space="0"/>
            </w:tcBorders>
            <w:noWrap/>
            <w:vAlign w:val="center"/>
          </w:tcPr>
          <w:p>
            <w:pPr>
              <w:widowControl/>
              <w:jc w:val="center"/>
              <w:rPr>
                <w:rFonts w:ascii="宋体" w:cs="宋体"/>
                <w:sz w:val="21"/>
                <w:szCs w:val="21"/>
              </w:rPr>
            </w:pPr>
            <w:r>
              <w:rPr>
                <w:rFonts w:hint="eastAsia" w:ascii="宋体" w:cs="宋体"/>
                <w:sz w:val="21"/>
                <w:szCs w:val="21"/>
              </w:rPr>
              <w:t>RSV B型（wild-type株）</w:t>
            </w:r>
          </w:p>
        </w:tc>
        <w:tc>
          <w:tcPr>
            <w:tcW w:w="6095" w:type="dxa"/>
            <w:tcBorders>
              <w:top w:val="nil"/>
              <w:left w:val="nil"/>
              <w:bottom w:val="single" w:color="auto" w:sz="4" w:space="0"/>
              <w:right w:val="single" w:color="auto" w:sz="4" w:space="0"/>
            </w:tcBorders>
            <w:noWrap/>
            <w:vAlign w:val="center"/>
          </w:tcPr>
          <w:p>
            <w:pPr>
              <w:widowControl/>
              <w:rPr>
                <w:rFonts w:ascii="宋体" w:cs="宋体"/>
                <w:sz w:val="21"/>
                <w:szCs w:val="21"/>
              </w:rPr>
            </w:pPr>
            <w:r>
              <w:rPr>
                <w:rFonts w:hint="eastAsia"/>
                <w:sz w:val="21"/>
                <w:szCs w:val="21"/>
              </w:rPr>
              <w:t>最低检出限1.2×</w:t>
            </w:r>
            <w:r>
              <w:rPr>
                <w:sz w:val="21"/>
                <w:szCs w:val="21"/>
              </w:rPr>
              <w:t>10</w:t>
            </w:r>
            <w:r>
              <w:rPr>
                <w:position w:val="8"/>
                <w:sz w:val="21"/>
                <w:szCs w:val="21"/>
                <w:vertAlign w:val="superscript"/>
              </w:rPr>
              <w:t xml:space="preserve">4 </w:t>
            </w:r>
            <w:r>
              <w:rPr>
                <w:sz w:val="21"/>
                <w:szCs w:val="21"/>
              </w:rPr>
              <w:t>TCID</w:t>
            </w:r>
            <w:r>
              <w:rPr>
                <w:position w:val="-8"/>
                <w:sz w:val="21"/>
                <w:szCs w:val="21"/>
                <w:vertAlign w:val="subscript"/>
              </w:rPr>
              <w:t xml:space="preserve">50 </w:t>
            </w:r>
            <w:r>
              <w:rPr>
                <w:sz w:val="21"/>
                <w:szCs w:val="21"/>
              </w:rPr>
              <w:t>/</w:t>
            </w:r>
            <w:r>
              <w:rPr>
                <w:rFonts w:hint="eastAsia"/>
                <w:sz w:val="21"/>
                <w:szCs w:val="21"/>
              </w:rPr>
              <w:t xml:space="preserve"> ml</w:t>
            </w:r>
          </w:p>
        </w:tc>
      </w:tr>
      <w:tr>
        <w:tblPrEx>
          <w:tblLayout w:type="fixed"/>
          <w:tblCellMar>
            <w:top w:w="0" w:type="dxa"/>
            <w:left w:w="108" w:type="dxa"/>
            <w:bottom w:w="0" w:type="dxa"/>
            <w:right w:w="108" w:type="dxa"/>
          </w:tblCellMar>
        </w:tblPrEx>
        <w:trPr>
          <w:trHeight w:val="555" w:hRule="atLeast"/>
          <w:jc w:val="center"/>
        </w:trPr>
        <w:tc>
          <w:tcPr>
            <w:tcW w:w="839" w:type="dxa"/>
            <w:tcBorders>
              <w:top w:val="nil"/>
              <w:left w:val="single" w:color="auto" w:sz="8" w:space="0"/>
              <w:bottom w:val="single" w:color="auto" w:sz="4" w:space="0"/>
              <w:right w:val="single" w:color="auto" w:sz="4" w:space="0"/>
            </w:tcBorders>
            <w:noWrap/>
            <w:vAlign w:val="center"/>
          </w:tcPr>
          <w:p>
            <w:pPr>
              <w:widowControl/>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w:t>
            </w:r>
          </w:p>
        </w:tc>
        <w:tc>
          <w:tcPr>
            <w:tcW w:w="2447" w:type="dxa"/>
            <w:tcBorders>
              <w:top w:val="nil"/>
              <w:left w:val="nil"/>
              <w:bottom w:val="single" w:color="auto" w:sz="4" w:space="0"/>
              <w:right w:val="single" w:color="auto" w:sz="4" w:space="0"/>
            </w:tcBorders>
            <w:noWrap/>
            <w:vAlign w:val="center"/>
          </w:tcPr>
          <w:p>
            <w:pPr>
              <w:widowControl/>
              <w:jc w:val="center"/>
              <w:rPr>
                <w:rFonts w:ascii="宋体" w:cs="宋体"/>
                <w:sz w:val="21"/>
                <w:szCs w:val="21"/>
              </w:rPr>
            </w:pPr>
            <w:r>
              <w:rPr>
                <w:rFonts w:hint="eastAsia" w:ascii="宋体" w:cs="宋体"/>
                <w:sz w:val="21"/>
                <w:szCs w:val="21"/>
              </w:rPr>
              <w:t>对呼吸道合胞病毒的反应性</w:t>
            </w:r>
          </w:p>
        </w:tc>
        <w:tc>
          <w:tcPr>
            <w:tcW w:w="6095" w:type="dxa"/>
            <w:tcBorders>
              <w:top w:val="nil"/>
              <w:left w:val="nil"/>
              <w:bottom w:val="single" w:color="auto" w:sz="4" w:space="0"/>
              <w:right w:val="single" w:color="auto" w:sz="4" w:space="0"/>
            </w:tcBorders>
            <w:noWrap/>
            <w:vAlign w:val="center"/>
          </w:tcPr>
          <w:p>
            <w:pPr>
              <w:widowControl/>
              <w:rPr>
                <w:rFonts w:ascii="宋体" w:cs="宋体"/>
                <w:sz w:val="21"/>
                <w:szCs w:val="21"/>
              </w:rPr>
            </w:pPr>
            <w:r>
              <w:rPr>
                <w:rFonts w:hint="eastAsia" w:ascii="宋体" w:cs="宋体"/>
                <w:sz w:val="21"/>
                <w:szCs w:val="21"/>
              </w:rPr>
              <w:t>能检出：呼吸道合胞病毒A型（A2株、long株）、B型（9320株、wild-type株）</w:t>
            </w:r>
          </w:p>
        </w:tc>
      </w:tr>
      <w:tr>
        <w:tblPrEx>
          <w:tblLayout w:type="fixed"/>
          <w:tblCellMar>
            <w:top w:w="0" w:type="dxa"/>
            <w:left w:w="108" w:type="dxa"/>
            <w:bottom w:w="0" w:type="dxa"/>
            <w:right w:w="108" w:type="dxa"/>
          </w:tblCellMar>
        </w:tblPrEx>
        <w:trPr>
          <w:trHeight w:val="594" w:hRule="atLeast"/>
          <w:jc w:val="center"/>
        </w:trPr>
        <w:tc>
          <w:tcPr>
            <w:tcW w:w="839" w:type="dxa"/>
            <w:tcBorders>
              <w:top w:val="nil"/>
              <w:left w:val="single" w:color="auto" w:sz="8" w:space="0"/>
              <w:bottom w:val="single" w:color="auto" w:sz="4" w:space="0"/>
              <w:right w:val="single" w:color="auto" w:sz="4" w:space="0"/>
            </w:tcBorders>
            <w:noWrap/>
            <w:vAlign w:val="center"/>
          </w:tcPr>
          <w:p>
            <w:pPr>
              <w:widowControl/>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p>
        </w:tc>
        <w:tc>
          <w:tcPr>
            <w:tcW w:w="2447" w:type="dxa"/>
            <w:tcBorders>
              <w:top w:val="nil"/>
              <w:left w:val="nil"/>
              <w:bottom w:val="single" w:color="auto" w:sz="4" w:space="0"/>
              <w:right w:val="single" w:color="auto" w:sz="4" w:space="0"/>
            </w:tcBorders>
            <w:noWrap/>
            <w:vAlign w:val="center"/>
          </w:tcPr>
          <w:p>
            <w:pPr>
              <w:widowControl/>
              <w:jc w:val="center"/>
              <w:rPr>
                <w:rFonts w:ascii="宋体" w:cs="宋体"/>
                <w:sz w:val="21"/>
                <w:szCs w:val="21"/>
              </w:rPr>
            </w:pPr>
            <w:r>
              <w:rPr>
                <w:rFonts w:hint="eastAsia" w:ascii="宋体" w:cs="宋体"/>
                <w:sz w:val="21"/>
                <w:szCs w:val="21"/>
              </w:rPr>
              <w:t>交叉反应</w:t>
            </w:r>
          </w:p>
        </w:tc>
        <w:tc>
          <w:tcPr>
            <w:tcW w:w="6095" w:type="dxa"/>
            <w:tcBorders>
              <w:top w:val="nil"/>
              <w:left w:val="nil"/>
              <w:bottom w:val="single" w:color="auto" w:sz="4" w:space="0"/>
              <w:right w:val="single" w:color="auto" w:sz="4" w:space="0"/>
            </w:tcBorders>
            <w:noWrap/>
            <w:vAlign w:val="center"/>
          </w:tcPr>
          <w:p>
            <w:pPr>
              <w:widowControl/>
              <w:rPr>
                <w:rFonts w:ascii="宋体" w:cs="宋体"/>
                <w:sz w:val="21"/>
                <w:szCs w:val="21"/>
              </w:rPr>
            </w:pPr>
            <w:r>
              <w:rPr>
                <w:rFonts w:hint="eastAsia"/>
                <w:sz w:val="21"/>
                <w:szCs w:val="21"/>
              </w:rPr>
              <w:t>确认与以下细菌、真菌没有交叉反应。</w:t>
            </w:r>
          </w:p>
        </w:tc>
      </w:tr>
      <w:tr>
        <w:tblPrEx>
          <w:tblLayout w:type="fixed"/>
          <w:tblCellMar>
            <w:top w:w="0" w:type="dxa"/>
            <w:left w:w="108" w:type="dxa"/>
            <w:bottom w:w="0" w:type="dxa"/>
            <w:right w:w="108" w:type="dxa"/>
          </w:tblCellMar>
        </w:tblPrEx>
        <w:trPr>
          <w:trHeight w:val="555" w:hRule="atLeast"/>
          <w:jc w:val="center"/>
        </w:trPr>
        <w:tc>
          <w:tcPr>
            <w:tcW w:w="839" w:type="dxa"/>
            <w:tcBorders>
              <w:top w:val="nil"/>
              <w:left w:val="single" w:color="auto" w:sz="8" w:space="0"/>
              <w:bottom w:val="single" w:color="auto" w:sz="4" w:space="0"/>
              <w:right w:val="single" w:color="auto" w:sz="4" w:space="0"/>
            </w:tcBorders>
            <w:noWrap/>
            <w:vAlign w:val="center"/>
          </w:tcPr>
          <w:p>
            <w:pPr>
              <w:widowControl/>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r>
              <w:rPr>
                <w:rFonts w:hint="eastAsia"/>
                <w:color w:val="000000" w:themeColor="text1"/>
                <w:sz w:val="21"/>
                <w:szCs w:val="21"/>
                <w14:textFill>
                  <w14:solidFill>
                    <w14:schemeClr w14:val="tx1"/>
                  </w14:solidFill>
                </w14:textFill>
              </w:rPr>
              <w:t>.1</w:t>
            </w:r>
          </w:p>
        </w:tc>
        <w:tc>
          <w:tcPr>
            <w:tcW w:w="2447" w:type="dxa"/>
            <w:tcBorders>
              <w:top w:val="nil"/>
              <w:left w:val="nil"/>
              <w:bottom w:val="single" w:color="auto" w:sz="4" w:space="0"/>
              <w:right w:val="single" w:color="auto" w:sz="4" w:space="0"/>
            </w:tcBorders>
            <w:noWrap/>
            <w:vAlign w:val="center"/>
          </w:tcPr>
          <w:p>
            <w:pPr>
              <w:widowControl/>
              <w:jc w:val="center"/>
              <w:rPr>
                <w:rFonts w:ascii="宋体" w:cs="宋体"/>
                <w:sz w:val="21"/>
                <w:szCs w:val="21"/>
              </w:rPr>
            </w:pPr>
            <w:r>
              <w:rPr>
                <w:rFonts w:hint="eastAsia" w:ascii="宋体" w:cs="宋体"/>
                <w:sz w:val="21"/>
                <w:szCs w:val="21"/>
              </w:rPr>
              <w:t>细菌</w:t>
            </w:r>
          </w:p>
        </w:tc>
        <w:tc>
          <w:tcPr>
            <w:tcW w:w="6095" w:type="dxa"/>
            <w:tcBorders>
              <w:top w:val="nil"/>
              <w:left w:val="nil"/>
              <w:bottom w:val="single" w:color="auto" w:sz="4" w:space="0"/>
              <w:right w:val="single" w:color="auto" w:sz="4" w:space="0"/>
            </w:tcBorders>
            <w:noWrap/>
            <w:vAlign w:val="center"/>
          </w:tcPr>
          <w:p>
            <w:pPr>
              <w:pStyle w:val="217"/>
              <w:jc w:val="both"/>
              <w:rPr>
                <w:sz w:val="21"/>
                <w:szCs w:val="21"/>
              </w:rPr>
            </w:pPr>
            <w:r>
              <w:rPr>
                <w:rFonts w:hint="eastAsia"/>
                <w:sz w:val="21"/>
                <w:szCs w:val="21"/>
              </w:rPr>
              <w:t>大肠埃希菌、绿脓杆菌、卡他布兰汉菌、粪肠球菌、柠檬酸杆菌、金黄色葡萄球菌、克雷伯氏肺炎杆菌、小肠结肠炎耶尔森菌、副溶血弧菌、福氏志贺菌、脆弱拟杆菌、牛结核分枝杆菌、结核分枝杆菌、鸟分枝杆菌、肠炎沙门菌、猿猴分枝杆菌、龟分枝杆菌、空肠弯曲菌。</w:t>
            </w:r>
          </w:p>
        </w:tc>
      </w:tr>
      <w:tr>
        <w:tblPrEx>
          <w:tblLayout w:type="fixed"/>
          <w:tblCellMar>
            <w:top w:w="0" w:type="dxa"/>
            <w:left w:w="108" w:type="dxa"/>
            <w:bottom w:w="0" w:type="dxa"/>
            <w:right w:w="108" w:type="dxa"/>
          </w:tblCellMar>
        </w:tblPrEx>
        <w:trPr>
          <w:trHeight w:val="555" w:hRule="atLeast"/>
          <w:jc w:val="center"/>
        </w:trPr>
        <w:tc>
          <w:tcPr>
            <w:tcW w:w="839" w:type="dxa"/>
            <w:tcBorders>
              <w:top w:val="nil"/>
              <w:left w:val="single" w:color="auto" w:sz="8" w:space="0"/>
              <w:bottom w:val="single" w:color="auto" w:sz="4" w:space="0"/>
              <w:right w:val="single" w:color="auto" w:sz="4" w:space="0"/>
            </w:tcBorders>
            <w:noWrap/>
            <w:vAlign w:val="center"/>
          </w:tcPr>
          <w:p>
            <w:pPr>
              <w:widowControl/>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r>
              <w:rPr>
                <w:rFonts w:hint="eastAsia"/>
                <w:color w:val="000000" w:themeColor="text1"/>
                <w:sz w:val="21"/>
                <w:szCs w:val="21"/>
                <w14:textFill>
                  <w14:solidFill>
                    <w14:schemeClr w14:val="tx1"/>
                  </w14:solidFill>
                </w14:textFill>
              </w:rPr>
              <w:t>.2</w:t>
            </w:r>
          </w:p>
        </w:tc>
        <w:tc>
          <w:tcPr>
            <w:tcW w:w="2447" w:type="dxa"/>
            <w:tcBorders>
              <w:top w:val="nil"/>
              <w:left w:val="nil"/>
              <w:bottom w:val="single" w:color="auto" w:sz="4" w:space="0"/>
              <w:right w:val="single" w:color="auto" w:sz="4" w:space="0"/>
            </w:tcBorders>
            <w:noWrap/>
            <w:vAlign w:val="center"/>
          </w:tcPr>
          <w:p>
            <w:pPr>
              <w:widowControl/>
              <w:jc w:val="center"/>
              <w:rPr>
                <w:rFonts w:ascii="宋体" w:cs="宋体"/>
                <w:sz w:val="21"/>
                <w:szCs w:val="21"/>
              </w:rPr>
            </w:pPr>
            <w:r>
              <w:rPr>
                <w:rFonts w:hint="eastAsia" w:ascii="宋体" w:cs="宋体"/>
                <w:sz w:val="21"/>
                <w:szCs w:val="21"/>
              </w:rPr>
              <w:t>病毒及衣原体</w:t>
            </w:r>
          </w:p>
        </w:tc>
        <w:tc>
          <w:tcPr>
            <w:tcW w:w="6095" w:type="dxa"/>
            <w:tcBorders>
              <w:top w:val="nil"/>
              <w:left w:val="nil"/>
              <w:bottom w:val="single" w:color="auto" w:sz="4" w:space="0"/>
              <w:right w:val="single" w:color="auto" w:sz="4" w:space="0"/>
            </w:tcBorders>
            <w:noWrap/>
            <w:vAlign w:val="center"/>
          </w:tcPr>
          <w:p>
            <w:pPr>
              <w:widowControl/>
              <w:rPr>
                <w:rFonts w:ascii="宋体" w:cs="宋体"/>
                <w:sz w:val="21"/>
                <w:szCs w:val="21"/>
              </w:rPr>
            </w:pPr>
            <w:r>
              <w:rPr>
                <w:rFonts w:hint="eastAsia"/>
                <w:sz w:val="21"/>
                <w:szCs w:val="21"/>
              </w:rPr>
              <w:t>确认与以下病毒及衣原体没有交叉反应。流感病毒A型、流感病毒B型、Parainfluenza1，Grade2副流感1、Parainfluenza2，Grade2副流感2、Parainfluenza3，Grade2副流感3、腺病毒1型、腺病毒2型、腺病毒3型、腺病毒6型、腺病毒7型、腺病毒55型、Mumps，Grade2腮腺炎、Rotavirus Antigen轮状病毒、Measles, Grade2麻疹、Chlamydia pneumoniae肺炎衣原体、Chlamydia trachomatis沙眼衣原体。</w:t>
            </w:r>
          </w:p>
        </w:tc>
      </w:tr>
      <w:tr>
        <w:tblPrEx>
          <w:tblLayout w:type="fixed"/>
          <w:tblCellMar>
            <w:top w:w="0" w:type="dxa"/>
            <w:left w:w="108" w:type="dxa"/>
            <w:bottom w:w="0" w:type="dxa"/>
            <w:right w:w="108" w:type="dxa"/>
          </w:tblCellMar>
        </w:tblPrEx>
        <w:trPr>
          <w:trHeight w:val="555" w:hRule="atLeast"/>
          <w:jc w:val="center"/>
        </w:trPr>
        <w:tc>
          <w:tcPr>
            <w:tcW w:w="839" w:type="dxa"/>
            <w:tcBorders>
              <w:top w:val="nil"/>
              <w:left w:val="single" w:color="auto" w:sz="8" w:space="0"/>
              <w:bottom w:val="single" w:color="auto" w:sz="4" w:space="0"/>
              <w:right w:val="single" w:color="auto" w:sz="4" w:space="0"/>
            </w:tcBorders>
            <w:noWrap/>
            <w:vAlign w:val="center"/>
          </w:tcPr>
          <w:p>
            <w:pPr>
              <w:widowControl/>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w:t>
            </w:r>
          </w:p>
        </w:tc>
        <w:tc>
          <w:tcPr>
            <w:tcW w:w="2447" w:type="dxa"/>
            <w:tcBorders>
              <w:top w:val="nil"/>
              <w:left w:val="nil"/>
              <w:bottom w:val="single" w:color="auto" w:sz="4" w:space="0"/>
              <w:right w:val="single" w:color="auto" w:sz="4" w:space="0"/>
            </w:tcBorders>
            <w:noWrap/>
            <w:vAlign w:val="center"/>
          </w:tcPr>
          <w:p>
            <w:pPr>
              <w:widowControl/>
              <w:jc w:val="center"/>
              <w:rPr>
                <w:color w:val="000000" w:themeColor="text1"/>
                <w:sz w:val="21"/>
                <w:szCs w:val="21"/>
                <w14:textFill>
                  <w14:solidFill>
                    <w14:schemeClr w14:val="tx1"/>
                  </w14:solidFill>
                </w14:textFill>
              </w:rPr>
            </w:pPr>
            <w:r>
              <w:rPr>
                <w:rFonts w:hint="eastAsia" w:ascii="宋体" w:cs="宋体"/>
                <w:sz w:val="21"/>
                <w:szCs w:val="21"/>
              </w:rPr>
              <w:t>抗干扰能力</w:t>
            </w:r>
          </w:p>
        </w:tc>
        <w:tc>
          <w:tcPr>
            <w:tcW w:w="6095" w:type="dxa"/>
            <w:tcBorders>
              <w:top w:val="nil"/>
              <w:left w:val="nil"/>
              <w:bottom w:val="single" w:color="auto" w:sz="4" w:space="0"/>
              <w:right w:val="single" w:color="auto" w:sz="4" w:space="0"/>
            </w:tcBorders>
            <w:noWrap/>
            <w:vAlign w:val="center"/>
          </w:tcPr>
          <w:p>
            <w:pPr>
              <w:widowControl/>
              <w:rPr>
                <w:color w:val="000000" w:themeColor="text1"/>
                <w:sz w:val="21"/>
                <w:szCs w:val="21"/>
                <w14:textFill>
                  <w14:solidFill>
                    <w14:schemeClr w14:val="tx1"/>
                  </w14:solidFill>
                </w14:textFill>
              </w:rPr>
            </w:pPr>
            <w:r>
              <w:rPr>
                <w:rFonts w:hint="eastAsia" w:ascii="宋体" w:cs="宋体"/>
                <w:sz w:val="21"/>
                <w:szCs w:val="21"/>
              </w:rPr>
              <w:t>包括血液、粘蛋白、哮喘病人的样本和糖皮质激素：醋酸地塞米松；抗生素：头孢拉定、硫酸庆大霉素；达菲等药物的样本，均不会对呼吸道合胞病毒抗原检测试剂盒（胶体金法）检测造成干扰</w:t>
            </w:r>
          </w:p>
        </w:tc>
      </w:tr>
    </w:tbl>
    <w:p>
      <w:pPr>
        <w:numPr>
          <w:ilvl w:val="0"/>
          <w:numId w:val="0"/>
        </w:numPr>
        <w:spacing w:line="360" w:lineRule="auto"/>
        <w:ind w:leftChars="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2、</w:t>
      </w:r>
      <w:r>
        <w:rPr>
          <w:rFonts w:hint="eastAsia" w:ascii="宋体" w:hAnsi="宋体"/>
          <w:snapToGrid w:val="0"/>
          <w:szCs w:val="21"/>
        </w:rPr>
        <w:t>腺病毒抗原检测试剂盒</w:t>
      </w:r>
    </w:p>
    <w:tbl>
      <w:tblPr>
        <w:tblStyle w:val="32"/>
        <w:tblW w:w="9381" w:type="dxa"/>
        <w:jc w:val="center"/>
        <w:tblInd w:w="0" w:type="dxa"/>
        <w:tblLayout w:type="fixed"/>
        <w:tblCellMar>
          <w:top w:w="0" w:type="dxa"/>
          <w:left w:w="108" w:type="dxa"/>
          <w:bottom w:w="0" w:type="dxa"/>
          <w:right w:w="108" w:type="dxa"/>
        </w:tblCellMar>
      </w:tblPr>
      <w:tblGrid>
        <w:gridCol w:w="839"/>
        <w:gridCol w:w="2447"/>
        <w:gridCol w:w="6095"/>
      </w:tblGrid>
      <w:tr>
        <w:tblPrEx>
          <w:tblLayout w:type="fixed"/>
          <w:tblCellMar>
            <w:top w:w="0" w:type="dxa"/>
            <w:left w:w="108" w:type="dxa"/>
            <w:bottom w:w="0" w:type="dxa"/>
            <w:right w:w="108" w:type="dxa"/>
          </w:tblCellMar>
        </w:tblPrEx>
        <w:trPr>
          <w:trHeight w:val="47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序号</w:t>
            </w:r>
          </w:p>
        </w:tc>
        <w:tc>
          <w:tcPr>
            <w:tcW w:w="2447" w:type="dxa"/>
            <w:tcBorders>
              <w:top w:val="single" w:color="auto" w:sz="4" w:space="0"/>
              <w:left w:val="nil"/>
              <w:bottom w:val="single" w:color="auto" w:sz="4" w:space="0"/>
              <w:right w:val="single" w:color="auto" w:sz="4" w:space="0"/>
            </w:tcBorders>
            <w:vAlign w:val="center"/>
          </w:tcPr>
          <w:p>
            <w:pPr>
              <w:widowControl/>
              <w:ind w:firstLine="210" w:firstLineChars="10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名称</w:t>
            </w:r>
          </w:p>
        </w:tc>
        <w:tc>
          <w:tcPr>
            <w:tcW w:w="6095" w:type="dxa"/>
            <w:tcBorders>
              <w:top w:val="single" w:color="auto" w:sz="4" w:space="0"/>
              <w:left w:val="nil"/>
              <w:bottom w:val="single" w:color="auto" w:sz="4" w:space="0"/>
              <w:right w:val="single" w:color="auto" w:sz="4" w:space="0"/>
            </w:tcBorders>
            <w:vAlign w:val="center"/>
          </w:tcPr>
          <w:p>
            <w:pPr>
              <w:widowControl/>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技术参数</w:t>
            </w:r>
          </w:p>
        </w:tc>
      </w:tr>
      <w:tr>
        <w:tblPrEx>
          <w:tblLayout w:type="fixed"/>
          <w:tblCellMar>
            <w:top w:w="0" w:type="dxa"/>
            <w:left w:w="108" w:type="dxa"/>
            <w:bottom w:w="0" w:type="dxa"/>
            <w:right w:w="108" w:type="dxa"/>
          </w:tblCellMar>
        </w:tblPrEx>
        <w:trPr>
          <w:trHeight w:val="47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2447" w:type="dxa"/>
            <w:tcBorders>
              <w:top w:val="single" w:color="auto" w:sz="4" w:space="0"/>
              <w:left w:val="nil"/>
              <w:bottom w:val="single" w:color="auto" w:sz="4" w:space="0"/>
              <w:right w:val="single" w:color="auto" w:sz="4" w:space="0"/>
            </w:tcBorders>
            <w:vAlign w:val="center"/>
          </w:tcPr>
          <w:p>
            <w:pPr>
              <w:widowControl/>
              <w:jc w:val="center"/>
              <w:rPr>
                <w:color w:val="000000" w:themeColor="text1"/>
                <w:sz w:val="21"/>
                <w:szCs w:val="21"/>
                <w14:textFill>
                  <w14:solidFill>
                    <w14:schemeClr w14:val="tx1"/>
                  </w14:solidFill>
                </w14:textFill>
              </w:rPr>
            </w:pPr>
            <w:r>
              <w:rPr>
                <w:rFonts w:hint="eastAsia" w:ascii="宋体" w:cs="宋体"/>
                <w:sz w:val="21"/>
                <w:szCs w:val="21"/>
              </w:rPr>
              <w:t>有效期及储存条件</w:t>
            </w:r>
          </w:p>
        </w:tc>
        <w:tc>
          <w:tcPr>
            <w:tcW w:w="6095" w:type="dxa"/>
            <w:tcBorders>
              <w:top w:val="single" w:color="auto" w:sz="4" w:space="0"/>
              <w:left w:val="nil"/>
              <w:bottom w:val="single" w:color="auto" w:sz="4" w:space="0"/>
              <w:right w:val="single" w:color="auto" w:sz="4" w:space="0"/>
            </w:tcBorders>
            <w:vAlign w:val="center"/>
          </w:tcPr>
          <w:p>
            <w:pPr>
              <w:widowControl/>
              <w:rPr>
                <w:color w:val="000000" w:themeColor="text1"/>
                <w:sz w:val="21"/>
                <w:szCs w:val="21"/>
                <w14:textFill>
                  <w14:solidFill>
                    <w14:schemeClr w14:val="tx1"/>
                  </w14:solidFill>
                </w14:textFill>
              </w:rPr>
            </w:pPr>
            <w:r>
              <w:rPr>
                <w:rFonts w:hint="eastAsia" w:ascii="宋体" w:cs="宋体"/>
                <w:sz w:val="21"/>
                <w:szCs w:val="21"/>
                <w:lang w:val="en-US" w:eastAsia="zh-CN"/>
              </w:rPr>
              <w:t>≥</w:t>
            </w:r>
            <w:r>
              <w:rPr>
                <w:rFonts w:ascii="宋体" w:cs="宋体"/>
                <w:sz w:val="21"/>
                <w:szCs w:val="21"/>
              </w:rPr>
              <w:t>18</w:t>
            </w:r>
            <w:r>
              <w:rPr>
                <w:rFonts w:hint="eastAsia" w:ascii="宋体" w:cs="宋体"/>
                <w:sz w:val="21"/>
                <w:szCs w:val="21"/>
              </w:rPr>
              <w:t>个月</w:t>
            </w:r>
          </w:p>
        </w:tc>
      </w:tr>
      <w:tr>
        <w:tblPrEx>
          <w:tblLayout w:type="fixed"/>
          <w:tblCellMar>
            <w:top w:w="0" w:type="dxa"/>
            <w:left w:w="108" w:type="dxa"/>
            <w:bottom w:w="0" w:type="dxa"/>
            <w:right w:w="108" w:type="dxa"/>
          </w:tblCellMar>
        </w:tblPrEx>
        <w:trPr>
          <w:trHeight w:val="47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c>
          <w:tcPr>
            <w:tcW w:w="2447" w:type="dxa"/>
            <w:tcBorders>
              <w:top w:val="single" w:color="auto" w:sz="4" w:space="0"/>
              <w:left w:val="nil"/>
              <w:bottom w:val="single" w:color="auto" w:sz="4" w:space="0"/>
              <w:right w:val="single" w:color="auto" w:sz="4" w:space="0"/>
            </w:tcBorders>
            <w:vAlign w:val="center"/>
          </w:tcPr>
          <w:p>
            <w:pPr>
              <w:widowControl/>
              <w:jc w:val="center"/>
              <w:rPr>
                <w:rFonts w:ascii="宋体" w:cs="宋体"/>
                <w:sz w:val="21"/>
                <w:szCs w:val="21"/>
              </w:rPr>
            </w:pPr>
            <w:r>
              <w:rPr>
                <w:rFonts w:hint="eastAsia" w:ascii="宋体" w:hAnsi="宋体" w:cs="宋体"/>
                <w:sz w:val="21"/>
                <w:szCs w:val="21"/>
              </w:rPr>
              <w:t>最低检出限</w:t>
            </w:r>
          </w:p>
        </w:tc>
        <w:tc>
          <w:tcPr>
            <w:tcW w:w="6095" w:type="dxa"/>
            <w:tcBorders>
              <w:top w:val="single" w:color="auto" w:sz="4" w:space="0"/>
              <w:left w:val="nil"/>
              <w:bottom w:val="single" w:color="auto" w:sz="4" w:space="0"/>
              <w:right w:val="single" w:color="auto" w:sz="4" w:space="0"/>
            </w:tcBorders>
            <w:vAlign w:val="center"/>
          </w:tcPr>
          <w:p>
            <w:pPr>
              <w:widowControl/>
              <w:rPr>
                <w:rFonts w:ascii="宋体" w:cs="宋体"/>
                <w:sz w:val="21"/>
                <w:szCs w:val="21"/>
              </w:rPr>
            </w:pPr>
          </w:p>
        </w:tc>
      </w:tr>
      <w:tr>
        <w:tblPrEx>
          <w:tblLayout w:type="fixed"/>
          <w:tblCellMar>
            <w:top w:w="0" w:type="dxa"/>
            <w:left w:w="108" w:type="dxa"/>
            <w:bottom w:w="0" w:type="dxa"/>
            <w:right w:w="108" w:type="dxa"/>
          </w:tblCellMar>
        </w:tblPrEx>
        <w:trPr>
          <w:trHeight w:val="47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r>
              <w:rPr>
                <w:rFonts w:hint="eastAsia"/>
                <w:color w:val="000000" w:themeColor="text1"/>
                <w:sz w:val="21"/>
                <w:szCs w:val="21"/>
                <w14:textFill>
                  <w14:solidFill>
                    <w14:schemeClr w14:val="tx1"/>
                  </w14:solidFill>
                </w14:textFill>
              </w:rPr>
              <w:t>.1</w:t>
            </w:r>
          </w:p>
        </w:tc>
        <w:tc>
          <w:tcPr>
            <w:tcW w:w="2447" w:type="dxa"/>
            <w:tcBorders>
              <w:top w:val="single" w:color="auto" w:sz="4" w:space="0"/>
              <w:left w:val="nil"/>
              <w:bottom w:val="single" w:color="auto" w:sz="4" w:space="0"/>
              <w:right w:val="single" w:color="auto" w:sz="4" w:space="0"/>
            </w:tcBorders>
            <w:vAlign w:val="center"/>
          </w:tcPr>
          <w:p>
            <w:pPr>
              <w:widowControl/>
              <w:jc w:val="center"/>
              <w:rPr>
                <w:rFonts w:ascii="宋体" w:cs="宋体"/>
                <w:sz w:val="21"/>
                <w:szCs w:val="21"/>
              </w:rPr>
            </w:pPr>
            <w:r>
              <w:rPr>
                <w:rFonts w:hint="eastAsia" w:ascii="宋体" w:hAnsi="宋体"/>
                <w:sz w:val="21"/>
                <w:szCs w:val="21"/>
              </w:rPr>
              <w:t>ADV3</w:t>
            </w:r>
          </w:p>
        </w:tc>
        <w:tc>
          <w:tcPr>
            <w:tcW w:w="6095" w:type="dxa"/>
            <w:tcBorders>
              <w:top w:val="single" w:color="auto" w:sz="4" w:space="0"/>
              <w:left w:val="nil"/>
              <w:bottom w:val="single" w:color="auto" w:sz="4" w:space="0"/>
              <w:right w:val="single" w:color="auto" w:sz="4" w:space="0"/>
            </w:tcBorders>
            <w:vAlign w:val="center"/>
          </w:tcPr>
          <w:p>
            <w:pPr>
              <w:widowControl/>
              <w:rPr>
                <w:rFonts w:ascii="宋体" w:cs="宋体"/>
                <w:sz w:val="21"/>
                <w:szCs w:val="21"/>
              </w:rPr>
            </w:pPr>
            <w:r>
              <w:rPr>
                <w:rFonts w:hint="eastAsia" w:ascii="宋体" w:hAnsi="宋体"/>
                <w:sz w:val="21"/>
                <w:szCs w:val="21"/>
              </w:rPr>
              <w:t>本检测试剂盒对ADV3型最小检测灵敏度为6.0X10</w:t>
            </w:r>
            <w:r>
              <w:rPr>
                <w:rFonts w:hint="eastAsia" w:ascii="宋体" w:hAnsi="宋体"/>
                <w:sz w:val="21"/>
                <w:szCs w:val="21"/>
                <w:vertAlign w:val="superscript"/>
              </w:rPr>
              <w:t>3</w:t>
            </w:r>
            <w:r>
              <w:rPr>
                <w:rFonts w:hint="eastAsia" w:ascii="宋体" w:hAnsi="宋体"/>
                <w:sz w:val="21"/>
                <w:szCs w:val="21"/>
              </w:rPr>
              <w:t>VP/ml(VP:病毒粒子);</w:t>
            </w:r>
          </w:p>
        </w:tc>
      </w:tr>
      <w:tr>
        <w:tblPrEx>
          <w:tblLayout w:type="fixed"/>
          <w:tblCellMar>
            <w:top w:w="0" w:type="dxa"/>
            <w:left w:w="108" w:type="dxa"/>
            <w:bottom w:w="0" w:type="dxa"/>
            <w:right w:w="108" w:type="dxa"/>
          </w:tblCellMar>
        </w:tblPrEx>
        <w:trPr>
          <w:trHeight w:val="47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r>
              <w:rPr>
                <w:rFonts w:hint="eastAsia"/>
                <w:color w:val="000000" w:themeColor="text1"/>
                <w:sz w:val="21"/>
                <w:szCs w:val="21"/>
                <w14:textFill>
                  <w14:solidFill>
                    <w14:schemeClr w14:val="tx1"/>
                  </w14:solidFill>
                </w14:textFill>
              </w:rPr>
              <w:t>.2</w:t>
            </w:r>
          </w:p>
        </w:tc>
        <w:tc>
          <w:tcPr>
            <w:tcW w:w="2447" w:type="dxa"/>
            <w:tcBorders>
              <w:top w:val="single" w:color="auto" w:sz="4" w:space="0"/>
              <w:left w:val="nil"/>
              <w:bottom w:val="single" w:color="auto" w:sz="4" w:space="0"/>
              <w:right w:val="single" w:color="auto" w:sz="4" w:space="0"/>
            </w:tcBorders>
            <w:vAlign w:val="center"/>
          </w:tcPr>
          <w:p>
            <w:pPr>
              <w:widowControl/>
              <w:jc w:val="center"/>
              <w:rPr>
                <w:rFonts w:ascii="宋体" w:cs="宋体"/>
                <w:sz w:val="21"/>
                <w:szCs w:val="21"/>
              </w:rPr>
            </w:pPr>
            <w:r>
              <w:rPr>
                <w:rFonts w:hint="eastAsia" w:ascii="宋体" w:hAnsi="宋体"/>
                <w:sz w:val="21"/>
                <w:szCs w:val="21"/>
              </w:rPr>
              <w:t>ADV6和7</w:t>
            </w:r>
          </w:p>
        </w:tc>
        <w:tc>
          <w:tcPr>
            <w:tcW w:w="6095" w:type="dxa"/>
            <w:tcBorders>
              <w:top w:val="single" w:color="auto" w:sz="4" w:space="0"/>
              <w:left w:val="nil"/>
              <w:bottom w:val="single" w:color="auto" w:sz="4" w:space="0"/>
              <w:right w:val="single" w:color="auto" w:sz="4" w:space="0"/>
            </w:tcBorders>
            <w:vAlign w:val="center"/>
          </w:tcPr>
          <w:p>
            <w:pPr>
              <w:widowControl/>
              <w:rPr>
                <w:rFonts w:ascii="宋体" w:cs="宋体"/>
                <w:sz w:val="21"/>
                <w:szCs w:val="21"/>
              </w:rPr>
            </w:pPr>
            <w:r>
              <w:rPr>
                <w:rFonts w:hint="eastAsia" w:ascii="宋体" w:hAnsi="宋体"/>
                <w:sz w:val="21"/>
                <w:szCs w:val="21"/>
              </w:rPr>
              <w:t>对ADV6和7型最小检测灵敏度均为1.0X10</w:t>
            </w:r>
            <w:r>
              <w:rPr>
                <w:rFonts w:hint="eastAsia" w:ascii="宋体" w:hAnsi="宋体"/>
                <w:sz w:val="21"/>
                <w:szCs w:val="21"/>
                <w:vertAlign w:val="superscript"/>
              </w:rPr>
              <w:t>4</w:t>
            </w:r>
            <w:r>
              <w:rPr>
                <w:rFonts w:hint="eastAsia" w:ascii="宋体" w:hAnsi="宋体"/>
                <w:sz w:val="21"/>
                <w:szCs w:val="21"/>
              </w:rPr>
              <w:t>VP/ml(VP:病毒粒子)</w:t>
            </w:r>
          </w:p>
        </w:tc>
      </w:tr>
      <w:tr>
        <w:tblPrEx>
          <w:tblLayout w:type="fixed"/>
          <w:tblCellMar>
            <w:top w:w="0" w:type="dxa"/>
            <w:left w:w="108" w:type="dxa"/>
            <w:bottom w:w="0" w:type="dxa"/>
            <w:right w:w="108" w:type="dxa"/>
          </w:tblCellMar>
        </w:tblPrEx>
        <w:trPr>
          <w:trHeight w:val="47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w:t>
            </w:r>
          </w:p>
        </w:tc>
        <w:tc>
          <w:tcPr>
            <w:tcW w:w="2447" w:type="dxa"/>
            <w:tcBorders>
              <w:top w:val="single" w:color="auto" w:sz="4" w:space="0"/>
              <w:left w:val="nil"/>
              <w:bottom w:val="single" w:color="auto" w:sz="4" w:space="0"/>
              <w:right w:val="single" w:color="auto" w:sz="4" w:space="0"/>
            </w:tcBorders>
            <w:vAlign w:val="center"/>
          </w:tcPr>
          <w:p>
            <w:pPr>
              <w:widowControl/>
              <w:jc w:val="center"/>
              <w:rPr>
                <w:rFonts w:ascii="宋体" w:cs="宋体"/>
                <w:sz w:val="21"/>
                <w:szCs w:val="21"/>
              </w:rPr>
            </w:pPr>
            <w:r>
              <w:rPr>
                <w:rFonts w:hint="eastAsia" w:ascii="宋体" w:cs="宋体"/>
                <w:sz w:val="21"/>
                <w:szCs w:val="21"/>
              </w:rPr>
              <w:t>与血清型的反应性</w:t>
            </w:r>
          </w:p>
        </w:tc>
        <w:tc>
          <w:tcPr>
            <w:tcW w:w="6095" w:type="dxa"/>
            <w:tcBorders>
              <w:top w:val="single" w:color="auto" w:sz="4" w:space="0"/>
              <w:left w:val="nil"/>
              <w:bottom w:val="single" w:color="auto" w:sz="4" w:space="0"/>
              <w:right w:val="single" w:color="auto" w:sz="4" w:space="0"/>
            </w:tcBorders>
            <w:vAlign w:val="center"/>
          </w:tcPr>
          <w:p>
            <w:pPr>
              <w:widowControl/>
              <w:rPr>
                <w:rFonts w:ascii="宋体" w:hAnsi="宋体"/>
                <w:sz w:val="21"/>
                <w:szCs w:val="21"/>
              </w:rPr>
            </w:pPr>
            <w:r>
              <w:rPr>
                <w:rFonts w:hint="eastAsia" w:ascii="宋体" w:hAnsi="宋体"/>
                <w:sz w:val="21"/>
                <w:szCs w:val="21"/>
              </w:rPr>
              <w:t>确认本检测试剂与腺病毒1、2、3、4、5、6、7、8、11、19、37、55型有反应。3、7、11、55属于B组；1、2、5、6属于C组；4属于E组；8、19、37属于D组；1、2型低浓度可能会存在假阴。</w:t>
            </w:r>
          </w:p>
        </w:tc>
      </w:tr>
      <w:tr>
        <w:tblPrEx>
          <w:tblLayout w:type="fixed"/>
          <w:tblCellMar>
            <w:top w:w="0" w:type="dxa"/>
            <w:left w:w="108" w:type="dxa"/>
            <w:bottom w:w="0" w:type="dxa"/>
            <w:right w:w="108" w:type="dxa"/>
          </w:tblCellMar>
        </w:tblPrEx>
        <w:trPr>
          <w:trHeight w:val="470" w:hRule="atLeast"/>
          <w:jc w:val="center"/>
        </w:trPr>
        <w:tc>
          <w:tcPr>
            <w:tcW w:w="8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p>
        </w:tc>
        <w:tc>
          <w:tcPr>
            <w:tcW w:w="24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sz w:val="21"/>
                <w:szCs w:val="21"/>
              </w:rPr>
            </w:pPr>
            <w:r>
              <w:rPr>
                <w:rFonts w:hint="eastAsia" w:ascii="宋体" w:cs="宋体"/>
                <w:sz w:val="21"/>
                <w:szCs w:val="21"/>
              </w:rPr>
              <w:t>交叉反应</w:t>
            </w:r>
          </w:p>
        </w:tc>
        <w:tc>
          <w:tcPr>
            <w:tcW w:w="6095"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cs="宋体"/>
                <w:sz w:val="21"/>
                <w:szCs w:val="21"/>
              </w:rPr>
            </w:pPr>
            <w:r>
              <w:rPr>
                <w:rFonts w:hint="eastAsia" w:ascii="宋体" w:hAnsi="宋体"/>
                <w:sz w:val="21"/>
                <w:szCs w:val="21"/>
              </w:rPr>
              <w:t>确认与以下细菌、真菌及病毒没有交叉反应。</w:t>
            </w:r>
          </w:p>
        </w:tc>
      </w:tr>
      <w:tr>
        <w:tblPrEx>
          <w:tblLayout w:type="fixed"/>
          <w:tblCellMar>
            <w:top w:w="0" w:type="dxa"/>
            <w:left w:w="108" w:type="dxa"/>
            <w:bottom w:w="0" w:type="dxa"/>
            <w:right w:w="108" w:type="dxa"/>
          </w:tblCellMar>
        </w:tblPrEx>
        <w:trPr>
          <w:trHeight w:val="47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r>
              <w:rPr>
                <w:rFonts w:hint="eastAsia"/>
                <w:color w:val="000000" w:themeColor="text1"/>
                <w:sz w:val="21"/>
                <w:szCs w:val="21"/>
                <w14:textFill>
                  <w14:solidFill>
                    <w14:schemeClr w14:val="tx1"/>
                  </w14:solidFill>
                </w14:textFill>
              </w:rPr>
              <w:t>.1</w:t>
            </w:r>
          </w:p>
        </w:tc>
        <w:tc>
          <w:tcPr>
            <w:tcW w:w="2447" w:type="dxa"/>
            <w:tcBorders>
              <w:top w:val="single" w:color="auto" w:sz="4" w:space="0"/>
              <w:left w:val="nil"/>
              <w:bottom w:val="single" w:color="auto" w:sz="4" w:space="0"/>
              <w:right w:val="single" w:color="auto" w:sz="4" w:space="0"/>
            </w:tcBorders>
            <w:vAlign w:val="center"/>
          </w:tcPr>
          <w:p>
            <w:pPr>
              <w:autoSpaceDE w:val="0"/>
              <w:autoSpaceDN w:val="0"/>
              <w:spacing w:line="360" w:lineRule="exact"/>
              <w:jc w:val="center"/>
              <w:textAlignment w:val="bottom"/>
              <w:rPr>
                <w:rFonts w:ascii="宋体" w:cs="宋体"/>
                <w:sz w:val="21"/>
                <w:szCs w:val="21"/>
              </w:rPr>
            </w:pPr>
            <w:r>
              <w:rPr>
                <w:rFonts w:hint="eastAsia" w:ascii="宋体" w:cs="宋体"/>
                <w:sz w:val="21"/>
                <w:szCs w:val="21"/>
              </w:rPr>
              <w:t>细菌</w:t>
            </w:r>
          </w:p>
        </w:tc>
        <w:tc>
          <w:tcPr>
            <w:tcW w:w="6095" w:type="dxa"/>
            <w:tcBorders>
              <w:top w:val="single" w:color="auto" w:sz="4" w:space="0"/>
              <w:left w:val="nil"/>
              <w:bottom w:val="single" w:color="auto" w:sz="4" w:space="0"/>
              <w:right w:val="single" w:color="auto" w:sz="4" w:space="0"/>
            </w:tcBorders>
            <w:vAlign w:val="center"/>
          </w:tcPr>
          <w:p>
            <w:pPr>
              <w:autoSpaceDE w:val="0"/>
              <w:autoSpaceDN w:val="0"/>
              <w:spacing w:line="360" w:lineRule="exact"/>
              <w:textAlignment w:val="bottom"/>
              <w:rPr>
                <w:rFonts w:ascii="宋体" w:cs="宋体"/>
                <w:sz w:val="21"/>
                <w:szCs w:val="21"/>
              </w:rPr>
            </w:pPr>
            <w:r>
              <w:rPr>
                <w:rFonts w:hint="eastAsia" w:ascii="宋体" w:cs="宋体"/>
                <w:sz w:val="21"/>
                <w:szCs w:val="21"/>
              </w:rPr>
              <w:t>大肠埃希菌、绿脓杆菌、卡他布兰汉菌、粪肠球菌、柠檬酸杆菌、金黄色葡萄球菌、克雷伯氏肺炎杆菌、小肠结肠炎耶尔森菌、副溶血弧菌、福氏志贺菌、脆弱拟杆菌、牛结核分支杆菌、结核分枝杆菌、鸟分枝杆菌、肠炎沙门菌、猿猴分枝杆菌、龟分枝杆菌、空肠弯曲菌</w:t>
            </w:r>
          </w:p>
        </w:tc>
      </w:tr>
      <w:tr>
        <w:tblPrEx>
          <w:tblLayout w:type="fixed"/>
          <w:tblCellMar>
            <w:top w:w="0" w:type="dxa"/>
            <w:left w:w="108" w:type="dxa"/>
            <w:bottom w:w="0" w:type="dxa"/>
            <w:right w:w="108" w:type="dxa"/>
          </w:tblCellMar>
        </w:tblPrEx>
        <w:trPr>
          <w:trHeight w:val="47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r>
              <w:rPr>
                <w:rFonts w:hint="eastAsia"/>
                <w:color w:val="000000" w:themeColor="text1"/>
                <w:sz w:val="21"/>
                <w:szCs w:val="21"/>
                <w14:textFill>
                  <w14:solidFill>
                    <w14:schemeClr w14:val="tx1"/>
                  </w14:solidFill>
                </w14:textFill>
              </w:rPr>
              <w:t>.2</w:t>
            </w:r>
          </w:p>
        </w:tc>
        <w:tc>
          <w:tcPr>
            <w:tcW w:w="2447" w:type="dxa"/>
            <w:tcBorders>
              <w:top w:val="single" w:color="auto" w:sz="4" w:space="0"/>
              <w:left w:val="nil"/>
              <w:bottom w:val="single" w:color="auto" w:sz="4" w:space="0"/>
              <w:right w:val="single" w:color="auto" w:sz="4" w:space="0"/>
            </w:tcBorders>
            <w:vAlign w:val="center"/>
          </w:tcPr>
          <w:p>
            <w:pPr>
              <w:widowControl/>
              <w:jc w:val="center"/>
              <w:rPr>
                <w:rFonts w:ascii="宋体" w:cs="宋体"/>
                <w:sz w:val="21"/>
                <w:szCs w:val="21"/>
              </w:rPr>
            </w:pPr>
            <w:r>
              <w:rPr>
                <w:rFonts w:hint="eastAsia" w:ascii="宋体" w:cs="宋体"/>
                <w:sz w:val="21"/>
                <w:szCs w:val="21"/>
              </w:rPr>
              <w:t>病毒及衣原体</w:t>
            </w:r>
          </w:p>
        </w:tc>
        <w:tc>
          <w:tcPr>
            <w:tcW w:w="6095" w:type="dxa"/>
            <w:tcBorders>
              <w:top w:val="single" w:color="auto" w:sz="4" w:space="0"/>
              <w:left w:val="nil"/>
              <w:bottom w:val="single" w:color="auto" w:sz="4" w:space="0"/>
              <w:right w:val="single" w:color="auto" w:sz="4" w:space="0"/>
            </w:tcBorders>
            <w:vAlign w:val="center"/>
          </w:tcPr>
          <w:p>
            <w:pPr>
              <w:autoSpaceDE w:val="0"/>
              <w:autoSpaceDN w:val="0"/>
              <w:spacing w:line="360" w:lineRule="exact"/>
              <w:textAlignment w:val="bottom"/>
              <w:rPr>
                <w:rFonts w:ascii="宋体" w:cs="宋体"/>
                <w:sz w:val="21"/>
                <w:szCs w:val="21"/>
              </w:rPr>
            </w:pPr>
            <w:r>
              <w:rPr>
                <w:rFonts w:hint="eastAsia" w:ascii="宋体" w:cs="宋体"/>
                <w:sz w:val="21"/>
                <w:szCs w:val="21"/>
              </w:rPr>
              <w:t>流感病毒</w:t>
            </w:r>
            <w:r>
              <w:rPr>
                <w:rFonts w:ascii="宋体" w:cs="宋体"/>
                <w:sz w:val="21"/>
                <w:szCs w:val="21"/>
              </w:rPr>
              <w:t>A</w:t>
            </w:r>
            <w:r>
              <w:rPr>
                <w:rFonts w:hint="eastAsia" w:ascii="宋体" w:cs="宋体"/>
                <w:sz w:val="21"/>
                <w:szCs w:val="21"/>
              </w:rPr>
              <w:t>型、流感病毒</w:t>
            </w:r>
            <w:r>
              <w:rPr>
                <w:rFonts w:ascii="宋体" w:cs="宋体"/>
                <w:sz w:val="21"/>
                <w:szCs w:val="21"/>
              </w:rPr>
              <w:t>B</w:t>
            </w:r>
            <w:r>
              <w:rPr>
                <w:rFonts w:hint="eastAsia" w:ascii="宋体" w:cs="宋体"/>
                <w:sz w:val="21"/>
                <w:szCs w:val="21"/>
              </w:rPr>
              <w:t>型、</w:t>
            </w:r>
            <w:r>
              <w:rPr>
                <w:rFonts w:ascii="宋体" w:cs="宋体"/>
                <w:sz w:val="21"/>
                <w:szCs w:val="21"/>
              </w:rPr>
              <w:t>Parainfluenza 1, Grade 2</w:t>
            </w:r>
            <w:r>
              <w:rPr>
                <w:rFonts w:hint="eastAsia" w:ascii="宋体" w:cs="宋体"/>
                <w:sz w:val="21"/>
                <w:szCs w:val="21"/>
              </w:rPr>
              <w:t>副流感</w:t>
            </w:r>
            <w:r>
              <w:rPr>
                <w:rFonts w:ascii="宋体" w:cs="宋体"/>
                <w:sz w:val="21"/>
                <w:szCs w:val="21"/>
              </w:rPr>
              <w:t>1</w:t>
            </w:r>
            <w:r>
              <w:rPr>
                <w:rFonts w:hint="eastAsia" w:ascii="宋体" w:cs="宋体"/>
                <w:sz w:val="21"/>
                <w:szCs w:val="21"/>
              </w:rPr>
              <w:t>、</w:t>
            </w:r>
            <w:r>
              <w:rPr>
                <w:rFonts w:ascii="宋体" w:cs="宋体"/>
                <w:sz w:val="21"/>
                <w:szCs w:val="21"/>
              </w:rPr>
              <w:t>Parainfluenza 2, Grade 2</w:t>
            </w:r>
            <w:r>
              <w:rPr>
                <w:rFonts w:hint="eastAsia" w:ascii="宋体" w:cs="宋体"/>
                <w:sz w:val="21"/>
                <w:szCs w:val="21"/>
              </w:rPr>
              <w:t>副流感</w:t>
            </w:r>
            <w:r>
              <w:rPr>
                <w:rFonts w:ascii="宋体" w:cs="宋体"/>
                <w:sz w:val="21"/>
                <w:szCs w:val="21"/>
              </w:rPr>
              <w:t>2</w:t>
            </w:r>
            <w:r>
              <w:rPr>
                <w:rFonts w:hint="eastAsia" w:ascii="宋体" w:cs="宋体"/>
                <w:sz w:val="21"/>
                <w:szCs w:val="21"/>
              </w:rPr>
              <w:t>、</w:t>
            </w:r>
            <w:r>
              <w:rPr>
                <w:rFonts w:ascii="宋体" w:cs="宋体"/>
                <w:sz w:val="21"/>
                <w:szCs w:val="21"/>
              </w:rPr>
              <w:t xml:space="preserve"> Parainfluenza 3, Grade 2</w:t>
            </w:r>
            <w:r>
              <w:rPr>
                <w:rFonts w:hint="eastAsia" w:ascii="宋体" w:cs="宋体"/>
                <w:sz w:val="21"/>
                <w:szCs w:val="21"/>
              </w:rPr>
              <w:t>副流感</w:t>
            </w:r>
            <w:r>
              <w:rPr>
                <w:rFonts w:ascii="宋体" w:cs="宋体"/>
                <w:sz w:val="21"/>
                <w:szCs w:val="21"/>
              </w:rPr>
              <w:t>3</w:t>
            </w:r>
            <w:r>
              <w:rPr>
                <w:rFonts w:hint="eastAsia" w:ascii="宋体" w:cs="宋体"/>
                <w:sz w:val="21"/>
                <w:szCs w:val="21"/>
              </w:rPr>
              <w:t>、呼吸道合胞病毒</w:t>
            </w:r>
            <w:r>
              <w:rPr>
                <w:rFonts w:ascii="宋体" w:cs="宋体"/>
                <w:sz w:val="21"/>
                <w:szCs w:val="21"/>
              </w:rPr>
              <w:t>A</w:t>
            </w:r>
            <w:r>
              <w:rPr>
                <w:rFonts w:hint="eastAsia" w:ascii="宋体" w:cs="宋体"/>
                <w:sz w:val="21"/>
                <w:szCs w:val="21"/>
              </w:rPr>
              <w:t>型（</w:t>
            </w:r>
            <w:r>
              <w:rPr>
                <w:rFonts w:ascii="宋体" w:cs="宋体"/>
                <w:sz w:val="21"/>
                <w:szCs w:val="21"/>
              </w:rPr>
              <w:t>long</w:t>
            </w:r>
            <w:r>
              <w:rPr>
                <w:rFonts w:hint="eastAsia" w:ascii="宋体" w:cs="宋体"/>
                <w:sz w:val="21"/>
                <w:szCs w:val="21"/>
              </w:rPr>
              <w:t>株）、呼吸道合胞病毒</w:t>
            </w:r>
            <w:r>
              <w:rPr>
                <w:rFonts w:ascii="宋体" w:cs="宋体"/>
                <w:sz w:val="21"/>
                <w:szCs w:val="21"/>
              </w:rPr>
              <w:t>A</w:t>
            </w:r>
            <w:r>
              <w:rPr>
                <w:rFonts w:hint="eastAsia" w:ascii="宋体" w:cs="宋体"/>
                <w:sz w:val="21"/>
                <w:szCs w:val="21"/>
              </w:rPr>
              <w:t>型（</w:t>
            </w:r>
            <w:r>
              <w:rPr>
                <w:rFonts w:ascii="宋体" w:cs="宋体"/>
                <w:sz w:val="21"/>
                <w:szCs w:val="21"/>
              </w:rPr>
              <w:t>A2</w:t>
            </w:r>
            <w:r>
              <w:rPr>
                <w:rFonts w:hint="eastAsia" w:ascii="宋体" w:cs="宋体"/>
                <w:sz w:val="21"/>
                <w:szCs w:val="21"/>
              </w:rPr>
              <w:t>株）、呼吸道合胞病毒</w:t>
            </w:r>
            <w:r>
              <w:rPr>
                <w:rFonts w:ascii="宋体" w:cs="宋体"/>
                <w:sz w:val="21"/>
                <w:szCs w:val="21"/>
              </w:rPr>
              <w:t>B</w:t>
            </w:r>
            <w:r>
              <w:rPr>
                <w:rFonts w:hint="eastAsia" w:ascii="宋体" w:cs="宋体"/>
                <w:sz w:val="21"/>
                <w:szCs w:val="21"/>
              </w:rPr>
              <w:t>型（</w:t>
            </w:r>
            <w:r>
              <w:rPr>
                <w:rFonts w:ascii="宋体" w:cs="宋体"/>
                <w:sz w:val="21"/>
                <w:szCs w:val="21"/>
              </w:rPr>
              <w:t>9320</w:t>
            </w:r>
            <w:r>
              <w:rPr>
                <w:rFonts w:hint="eastAsia" w:ascii="宋体" w:cs="宋体"/>
                <w:sz w:val="21"/>
                <w:szCs w:val="21"/>
              </w:rPr>
              <w:t>株）、</w:t>
            </w:r>
            <w:r>
              <w:rPr>
                <w:rFonts w:ascii="宋体" w:cs="宋体"/>
                <w:sz w:val="21"/>
                <w:szCs w:val="21"/>
              </w:rPr>
              <w:t>Mumps, Grade 2</w:t>
            </w:r>
            <w:r>
              <w:rPr>
                <w:rFonts w:hint="eastAsia" w:ascii="宋体" w:cs="宋体"/>
                <w:sz w:val="21"/>
                <w:szCs w:val="21"/>
              </w:rPr>
              <w:t>腮腺炎、</w:t>
            </w:r>
            <w:r>
              <w:rPr>
                <w:rFonts w:ascii="宋体" w:cs="宋体"/>
                <w:sz w:val="21"/>
                <w:szCs w:val="21"/>
              </w:rPr>
              <w:t>Rotavirus Antigen</w:t>
            </w:r>
            <w:r>
              <w:rPr>
                <w:rFonts w:hint="eastAsia" w:ascii="宋体" w:cs="宋体"/>
                <w:sz w:val="21"/>
                <w:szCs w:val="21"/>
              </w:rPr>
              <w:t>轮状病毒、</w:t>
            </w:r>
            <w:r>
              <w:rPr>
                <w:rFonts w:ascii="宋体" w:cs="宋体"/>
                <w:sz w:val="21"/>
                <w:szCs w:val="21"/>
              </w:rPr>
              <w:t>Measles, Grade 2</w:t>
            </w:r>
            <w:r>
              <w:rPr>
                <w:rFonts w:hint="eastAsia" w:ascii="宋体" w:cs="宋体"/>
                <w:sz w:val="21"/>
                <w:szCs w:val="21"/>
              </w:rPr>
              <w:t>麻疹、</w:t>
            </w:r>
            <w:r>
              <w:rPr>
                <w:rFonts w:ascii="宋体" w:cs="宋体"/>
                <w:sz w:val="21"/>
                <w:szCs w:val="21"/>
              </w:rPr>
              <w:t>Chlamydia pneumoniae</w:t>
            </w:r>
            <w:r>
              <w:rPr>
                <w:rFonts w:hint="eastAsia" w:ascii="宋体" w:cs="宋体"/>
                <w:sz w:val="21"/>
                <w:szCs w:val="21"/>
              </w:rPr>
              <w:t>肺炎衣原体、</w:t>
            </w:r>
            <w:r>
              <w:rPr>
                <w:rFonts w:ascii="宋体" w:cs="宋体"/>
                <w:sz w:val="21"/>
                <w:szCs w:val="21"/>
              </w:rPr>
              <w:t>Chlamydia trachomatis</w:t>
            </w:r>
            <w:r>
              <w:rPr>
                <w:rFonts w:hint="eastAsia" w:ascii="宋体" w:cs="宋体"/>
                <w:sz w:val="21"/>
                <w:szCs w:val="21"/>
              </w:rPr>
              <w:t>沙眼衣原体。</w:t>
            </w:r>
          </w:p>
        </w:tc>
      </w:tr>
    </w:tbl>
    <w:p>
      <w:pPr>
        <w:numPr>
          <w:ilvl w:val="0"/>
          <w:numId w:val="12"/>
        </w:numPr>
        <w:spacing w:line="360" w:lineRule="auto"/>
        <w:ind w:left="0" w:leftChars="0" w:firstLine="0" w:firstLineChars="0"/>
        <w:rPr>
          <w:rFonts w:hint="eastAsia"/>
        </w:rPr>
      </w:pPr>
      <w:r>
        <w:rPr>
          <w:rFonts w:hint="eastAsia"/>
        </w:rPr>
        <w:t>肺炎支原体抗原检测试剂盒</w:t>
      </w:r>
    </w:p>
    <w:tbl>
      <w:tblPr>
        <w:tblStyle w:val="32"/>
        <w:tblW w:w="9189" w:type="dxa"/>
        <w:jc w:val="center"/>
        <w:tblInd w:w="0" w:type="dxa"/>
        <w:tblLayout w:type="fixed"/>
        <w:tblCellMar>
          <w:top w:w="0" w:type="dxa"/>
          <w:left w:w="108" w:type="dxa"/>
          <w:bottom w:w="0" w:type="dxa"/>
          <w:right w:w="108" w:type="dxa"/>
        </w:tblCellMar>
      </w:tblPr>
      <w:tblGrid>
        <w:gridCol w:w="839"/>
        <w:gridCol w:w="1721"/>
        <w:gridCol w:w="6629"/>
      </w:tblGrid>
      <w:tr>
        <w:tblPrEx>
          <w:tblLayout w:type="fixed"/>
          <w:tblCellMar>
            <w:top w:w="0" w:type="dxa"/>
            <w:left w:w="108" w:type="dxa"/>
            <w:bottom w:w="0" w:type="dxa"/>
            <w:right w:w="108" w:type="dxa"/>
          </w:tblCellMar>
        </w:tblPrEx>
        <w:trPr>
          <w:trHeight w:val="63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序号</w:t>
            </w:r>
          </w:p>
        </w:tc>
        <w:tc>
          <w:tcPr>
            <w:tcW w:w="1721" w:type="dxa"/>
            <w:tcBorders>
              <w:top w:val="single" w:color="auto" w:sz="4" w:space="0"/>
              <w:left w:val="nil"/>
              <w:bottom w:val="single" w:color="auto" w:sz="4" w:space="0"/>
              <w:right w:val="single" w:color="auto" w:sz="4" w:space="0"/>
            </w:tcBorders>
            <w:vAlign w:val="center"/>
          </w:tcPr>
          <w:p>
            <w:pPr>
              <w:widowControl/>
              <w:ind w:firstLine="210" w:firstLineChars="10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名称</w:t>
            </w:r>
          </w:p>
        </w:tc>
        <w:tc>
          <w:tcPr>
            <w:tcW w:w="6629" w:type="dxa"/>
            <w:tcBorders>
              <w:top w:val="single" w:color="auto" w:sz="4" w:space="0"/>
              <w:left w:val="nil"/>
              <w:bottom w:val="single" w:color="auto" w:sz="4" w:space="0"/>
              <w:right w:val="single" w:color="auto" w:sz="4" w:space="0"/>
            </w:tcBorders>
            <w:vAlign w:val="center"/>
          </w:tcPr>
          <w:p>
            <w:pPr>
              <w:widowControl/>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技术参数</w:t>
            </w:r>
          </w:p>
        </w:tc>
      </w:tr>
      <w:tr>
        <w:tblPrEx>
          <w:tblLayout w:type="fixed"/>
          <w:tblCellMar>
            <w:top w:w="0" w:type="dxa"/>
            <w:left w:w="108" w:type="dxa"/>
            <w:bottom w:w="0" w:type="dxa"/>
            <w:right w:w="108" w:type="dxa"/>
          </w:tblCellMar>
        </w:tblPrEx>
        <w:trPr>
          <w:trHeight w:val="630" w:hRule="atLeast"/>
          <w:jc w:val="center"/>
        </w:trPr>
        <w:tc>
          <w:tcPr>
            <w:tcW w:w="839" w:type="dxa"/>
            <w:tcBorders>
              <w:top w:val="nil"/>
              <w:left w:val="single" w:color="auto" w:sz="8" w:space="0"/>
              <w:bottom w:val="single" w:color="auto" w:sz="4" w:space="0"/>
              <w:right w:val="single" w:color="auto" w:sz="4" w:space="0"/>
            </w:tcBorders>
            <w:noWrap/>
            <w:vAlign w:val="center"/>
          </w:tcPr>
          <w:p>
            <w:pPr>
              <w:widowControl/>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1721" w:type="dxa"/>
            <w:tcBorders>
              <w:top w:val="nil"/>
              <w:left w:val="nil"/>
              <w:bottom w:val="single" w:color="auto" w:sz="4" w:space="0"/>
              <w:right w:val="single" w:color="auto" w:sz="4" w:space="0"/>
            </w:tcBorders>
            <w:noWrap/>
            <w:vAlign w:val="center"/>
          </w:tcPr>
          <w:p>
            <w:pPr>
              <w:widowControl/>
              <w:jc w:val="center"/>
              <w:rPr>
                <w:color w:val="000000" w:themeColor="text1"/>
                <w:sz w:val="21"/>
                <w:szCs w:val="21"/>
                <w14:textFill>
                  <w14:solidFill>
                    <w14:schemeClr w14:val="tx1"/>
                  </w14:solidFill>
                </w14:textFill>
              </w:rPr>
            </w:pPr>
            <w:r>
              <w:rPr>
                <w:rFonts w:hint="eastAsia" w:ascii="宋体" w:cs="宋体"/>
                <w:sz w:val="21"/>
                <w:szCs w:val="21"/>
              </w:rPr>
              <w:t>有效期及储存条件</w:t>
            </w:r>
          </w:p>
        </w:tc>
        <w:tc>
          <w:tcPr>
            <w:tcW w:w="6629" w:type="dxa"/>
            <w:tcBorders>
              <w:top w:val="nil"/>
              <w:left w:val="nil"/>
              <w:bottom w:val="single" w:color="auto" w:sz="4" w:space="0"/>
              <w:right w:val="single" w:color="auto" w:sz="4" w:space="0"/>
            </w:tcBorders>
            <w:noWrap/>
            <w:vAlign w:val="center"/>
          </w:tcPr>
          <w:p>
            <w:pPr>
              <w:widowControl/>
              <w:rPr>
                <w:color w:val="000000" w:themeColor="text1"/>
                <w:sz w:val="21"/>
                <w:szCs w:val="21"/>
                <w14:textFill>
                  <w14:solidFill>
                    <w14:schemeClr w14:val="tx1"/>
                  </w14:solidFill>
                </w14:textFill>
              </w:rPr>
            </w:pPr>
            <w:r>
              <w:rPr>
                <w:rFonts w:hint="eastAsia" w:ascii="宋体" w:cs="宋体"/>
                <w:sz w:val="21"/>
                <w:szCs w:val="21"/>
                <w:lang w:val="en-US" w:eastAsia="zh-CN"/>
              </w:rPr>
              <w:t>≥</w:t>
            </w:r>
            <w:r>
              <w:rPr>
                <w:rFonts w:ascii="宋体" w:cs="宋体"/>
                <w:sz w:val="21"/>
                <w:szCs w:val="21"/>
              </w:rPr>
              <w:t>18</w:t>
            </w:r>
            <w:r>
              <w:rPr>
                <w:rFonts w:hint="eastAsia" w:ascii="宋体" w:cs="宋体"/>
                <w:sz w:val="21"/>
                <w:szCs w:val="21"/>
              </w:rPr>
              <w:t>个月</w:t>
            </w:r>
          </w:p>
        </w:tc>
      </w:tr>
      <w:tr>
        <w:tblPrEx>
          <w:tblLayout w:type="fixed"/>
          <w:tblCellMar>
            <w:top w:w="0" w:type="dxa"/>
            <w:left w:w="108" w:type="dxa"/>
            <w:bottom w:w="0" w:type="dxa"/>
            <w:right w:w="108" w:type="dxa"/>
          </w:tblCellMar>
        </w:tblPrEx>
        <w:trPr>
          <w:trHeight w:val="630" w:hRule="atLeast"/>
          <w:jc w:val="center"/>
        </w:trPr>
        <w:tc>
          <w:tcPr>
            <w:tcW w:w="839" w:type="dxa"/>
            <w:tcBorders>
              <w:top w:val="nil"/>
              <w:left w:val="single" w:color="auto" w:sz="8" w:space="0"/>
              <w:bottom w:val="single" w:color="auto" w:sz="4" w:space="0"/>
              <w:right w:val="single" w:color="auto" w:sz="4" w:space="0"/>
            </w:tcBorders>
            <w:noWrap/>
            <w:vAlign w:val="center"/>
          </w:tcPr>
          <w:p>
            <w:pPr>
              <w:widowControl/>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c>
          <w:tcPr>
            <w:tcW w:w="1721" w:type="dxa"/>
            <w:tcBorders>
              <w:top w:val="nil"/>
              <w:left w:val="nil"/>
              <w:bottom w:val="single" w:color="auto" w:sz="4" w:space="0"/>
              <w:right w:val="single" w:color="auto" w:sz="4" w:space="0"/>
            </w:tcBorders>
            <w:noWrap/>
            <w:vAlign w:val="center"/>
          </w:tcPr>
          <w:p>
            <w:pPr>
              <w:widowControl/>
              <w:jc w:val="center"/>
              <w:rPr>
                <w:color w:val="000000" w:themeColor="text1"/>
                <w:sz w:val="21"/>
                <w:szCs w:val="21"/>
                <w14:textFill>
                  <w14:solidFill>
                    <w14:schemeClr w14:val="tx1"/>
                  </w14:solidFill>
                </w14:textFill>
              </w:rPr>
            </w:pPr>
            <w:r>
              <w:rPr>
                <w:rFonts w:hint="eastAsia" w:ascii="宋体" w:hAnsi="宋体"/>
                <w:sz w:val="21"/>
                <w:szCs w:val="21"/>
              </w:rPr>
              <w:t>试剂盒组分</w:t>
            </w:r>
          </w:p>
        </w:tc>
        <w:tc>
          <w:tcPr>
            <w:tcW w:w="6629" w:type="dxa"/>
            <w:tcBorders>
              <w:top w:val="nil"/>
              <w:left w:val="nil"/>
              <w:bottom w:val="single" w:color="auto" w:sz="4" w:space="0"/>
              <w:right w:val="single" w:color="auto" w:sz="4" w:space="0"/>
            </w:tcBorders>
            <w:noWrap/>
            <w:vAlign w:val="center"/>
          </w:tcPr>
          <w:p>
            <w:pPr>
              <w:widowControl/>
              <w:rPr>
                <w:color w:val="000000" w:themeColor="text1"/>
                <w:sz w:val="21"/>
                <w:szCs w:val="21"/>
                <w14:textFill>
                  <w14:solidFill>
                    <w14:schemeClr w14:val="tx1"/>
                  </w14:solidFill>
                </w14:textFill>
              </w:rPr>
            </w:pPr>
            <w:r>
              <w:rPr>
                <w:rFonts w:hint="eastAsia" w:ascii="宋体" w:hAnsi="宋体"/>
                <w:sz w:val="21"/>
                <w:szCs w:val="21"/>
              </w:rPr>
              <w:t>试剂板、试剂管、滴头、样本抽提液、说明书、操作示意卡、立架、合格证。</w:t>
            </w:r>
          </w:p>
        </w:tc>
      </w:tr>
      <w:tr>
        <w:tblPrEx>
          <w:tblLayout w:type="fixed"/>
          <w:tblCellMar>
            <w:top w:w="0" w:type="dxa"/>
            <w:left w:w="108" w:type="dxa"/>
            <w:bottom w:w="0" w:type="dxa"/>
            <w:right w:w="108" w:type="dxa"/>
          </w:tblCellMar>
        </w:tblPrEx>
        <w:trPr>
          <w:trHeight w:val="630" w:hRule="atLeast"/>
          <w:jc w:val="center"/>
        </w:trPr>
        <w:tc>
          <w:tcPr>
            <w:tcW w:w="839" w:type="dxa"/>
            <w:tcBorders>
              <w:top w:val="nil"/>
              <w:left w:val="single" w:color="auto" w:sz="8" w:space="0"/>
              <w:bottom w:val="single" w:color="auto" w:sz="4" w:space="0"/>
              <w:right w:val="single" w:color="auto" w:sz="4" w:space="0"/>
            </w:tcBorders>
            <w:noWrap/>
            <w:vAlign w:val="center"/>
          </w:tcPr>
          <w:p>
            <w:pPr>
              <w:widowControl/>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w:t>
            </w:r>
          </w:p>
        </w:tc>
        <w:tc>
          <w:tcPr>
            <w:tcW w:w="1721" w:type="dxa"/>
            <w:tcBorders>
              <w:top w:val="nil"/>
              <w:left w:val="nil"/>
              <w:bottom w:val="single" w:color="auto" w:sz="4" w:space="0"/>
              <w:right w:val="single" w:color="auto" w:sz="4" w:space="0"/>
            </w:tcBorders>
            <w:noWrap/>
            <w:vAlign w:val="center"/>
          </w:tcPr>
          <w:p>
            <w:pPr>
              <w:widowControl/>
              <w:jc w:val="center"/>
              <w:rPr>
                <w:rFonts w:ascii="宋体" w:cs="宋体"/>
                <w:sz w:val="21"/>
                <w:szCs w:val="21"/>
              </w:rPr>
            </w:pPr>
            <w:r>
              <w:rPr>
                <w:rFonts w:hint="eastAsia" w:ascii="宋体" w:hAnsi="宋体" w:cs="宋体"/>
                <w:sz w:val="21"/>
                <w:szCs w:val="21"/>
              </w:rPr>
              <w:t>测定范围</w:t>
            </w:r>
          </w:p>
        </w:tc>
        <w:tc>
          <w:tcPr>
            <w:tcW w:w="6629" w:type="dxa"/>
            <w:tcBorders>
              <w:top w:val="nil"/>
              <w:left w:val="nil"/>
              <w:bottom w:val="single" w:color="auto" w:sz="4" w:space="0"/>
              <w:right w:val="single" w:color="auto" w:sz="4" w:space="0"/>
            </w:tcBorders>
            <w:noWrap/>
            <w:vAlign w:val="center"/>
          </w:tcPr>
          <w:p>
            <w:pPr>
              <w:widowControl/>
              <w:rPr>
                <w:rFonts w:ascii="宋体" w:cs="宋体"/>
                <w:sz w:val="21"/>
                <w:szCs w:val="21"/>
              </w:rPr>
            </w:pPr>
            <w:r>
              <w:rPr>
                <w:rFonts w:hint="eastAsia" w:ascii="宋体" w:cs="宋体"/>
                <w:sz w:val="21"/>
                <w:szCs w:val="21"/>
              </w:rPr>
              <w:t>最小检测灵敏度为</w:t>
            </w:r>
            <w:r>
              <w:rPr>
                <w:rFonts w:hint="eastAsia"/>
                <w:sz w:val="21"/>
                <w:szCs w:val="21"/>
              </w:rPr>
              <w:t>7.81×</w:t>
            </w:r>
            <w:r>
              <w:rPr>
                <w:sz w:val="21"/>
                <w:szCs w:val="21"/>
              </w:rPr>
              <w:t>10</w:t>
            </w:r>
            <w:r>
              <w:rPr>
                <w:rFonts w:hint="eastAsia"/>
                <w:position w:val="8"/>
                <w:sz w:val="21"/>
                <w:szCs w:val="21"/>
                <w:vertAlign w:val="superscript"/>
              </w:rPr>
              <w:t>3</w:t>
            </w:r>
            <w:r>
              <w:rPr>
                <w:position w:val="8"/>
                <w:sz w:val="21"/>
                <w:szCs w:val="21"/>
                <w:vertAlign w:val="superscript"/>
              </w:rPr>
              <w:t xml:space="preserve"> </w:t>
            </w:r>
            <w:r>
              <w:rPr>
                <w:rFonts w:hint="eastAsia"/>
                <w:sz w:val="21"/>
                <w:szCs w:val="21"/>
              </w:rPr>
              <w:t>CFU</w:t>
            </w:r>
            <w:r>
              <w:rPr>
                <w:position w:val="-8"/>
                <w:sz w:val="21"/>
                <w:szCs w:val="21"/>
                <w:vertAlign w:val="subscript"/>
              </w:rPr>
              <w:t xml:space="preserve"> </w:t>
            </w:r>
            <w:r>
              <w:rPr>
                <w:sz w:val="21"/>
                <w:szCs w:val="21"/>
              </w:rPr>
              <w:t xml:space="preserve">/ </w:t>
            </w:r>
            <w:r>
              <w:rPr>
                <w:rFonts w:hint="eastAsia"/>
                <w:sz w:val="21"/>
                <w:szCs w:val="21"/>
              </w:rPr>
              <w:t>ml</w:t>
            </w:r>
          </w:p>
        </w:tc>
      </w:tr>
      <w:tr>
        <w:tblPrEx>
          <w:tblLayout w:type="fixed"/>
          <w:tblCellMar>
            <w:top w:w="0" w:type="dxa"/>
            <w:left w:w="108" w:type="dxa"/>
            <w:bottom w:w="0" w:type="dxa"/>
            <w:right w:w="108" w:type="dxa"/>
          </w:tblCellMar>
        </w:tblPrEx>
        <w:trPr>
          <w:trHeight w:val="555" w:hRule="atLeast"/>
          <w:jc w:val="center"/>
        </w:trPr>
        <w:tc>
          <w:tcPr>
            <w:tcW w:w="839" w:type="dxa"/>
            <w:tcBorders>
              <w:top w:val="nil"/>
              <w:left w:val="single" w:color="auto" w:sz="8" w:space="0"/>
              <w:bottom w:val="single" w:color="auto" w:sz="4" w:space="0"/>
              <w:right w:val="single" w:color="auto" w:sz="4" w:space="0"/>
            </w:tcBorders>
            <w:noWrap/>
            <w:vAlign w:val="center"/>
          </w:tcPr>
          <w:p>
            <w:pPr>
              <w:widowControl/>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p>
        </w:tc>
        <w:tc>
          <w:tcPr>
            <w:tcW w:w="1721" w:type="dxa"/>
            <w:tcBorders>
              <w:top w:val="nil"/>
              <w:left w:val="nil"/>
              <w:bottom w:val="single" w:color="auto" w:sz="4" w:space="0"/>
              <w:right w:val="single" w:color="auto" w:sz="4" w:space="0"/>
            </w:tcBorders>
            <w:noWrap/>
            <w:vAlign w:val="center"/>
          </w:tcPr>
          <w:p>
            <w:pPr>
              <w:widowControl/>
              <w:jc w:val="center"/>
              <w:rPr>
                <w:rFonts w:ascii="宋体" w:cs="宋体"/>
                <w:sz w:val="21"/>
                <w:szCs w:val="21"/>
              </w:rPr>
            </w:pPr>
            <w:r>
              <w:rPr>
                <w:rFonts w:hint="eastAsia" w:ascii="宋体" w:cs="宋体"/>
                <w:sz w:val="21"/>
                <w:szCs w:val="21"/>
              </w:rPr>
              <w:t>交叉反应</w:t>
            </w:r>
          </w:p>
        </w:tc>
        <w:tc>
          <w:tcPr>
            <w:tcW w:w="6629" w:type="dxa"/>
            <w:tcBorders>
              <w:top w:val="nil"/>
              <w:left w:val="nil"/>
              <w:bottom w:val="single" w:color="auto" w:sz="4" w:space="0"/>
              <w:right w:val="single" w:color="auto" w:sz="4" w:space="0"/>
            </w:tcBorders>
            <w:noWrap/>
            <w:vAlign w:val="center"/>
          </w:tcPr>
          <w:p>
            <w:pPr>
              <w:widowControl/>
              <w:rPr>
                <w:rFonts w:ascii="宋体" w:cs="宋体"/>
                <w:sz w:val="21"/>
                <w:szCs w:val="21"/>
              </w:rPr>
            </w:pPr>
          </w:p>
        </w:tc>
      </w:tr>
      <w:tr>
        <w:tblPrEx>
          <w:tblLayout w:type="fixed"/>
          <w:tblCellMar>
            <w:top w:w="0" w:type="dxa"/>
            <w:left w:w="108" w:type="dxa"/>
            <w:bottom w:w="0" w:type="dxa"/>
            <w:right w:w="108" w:type="dxa"/>
          </w:tblCellMar>
        </w:tblPrEx>
        <w:trPr>
          <w:trHeight w:val="555" w:hRule="atLeast"/>
          <w:jc w:val="center"/>
        </w:trPr>
        <w:tc>
          <w:tcPr>
            <w:tcW w:w="839" w:type="dxa"/>
            <w:tcBorders>
              <w:top w:val="nil"/>
              <w:left w:val="single" w:color="auto" w:sz="8" w:space="0"/>
              <w:bottom w:val="single" w:color="auto" w:sz="4" w:space="0"/>
              <w:right w:val="single" w:color="auto" w:sz="4" w:space="0"/>
            </w:tcBorders>
            <w:noWrap/>
            <w:vAlign w:val="center"/>
          </w:tcPr>
          <w:p>
            <w:pPr>
              <w:widowControl/>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r>
              <w:rPr>
                <w:rFonts w:hint="eastAsia"/>
                <w:color w:val="000000" w:themeColor="text1"/>
                <w:sz w:val="21"/>
                <w:szCs w:val="21"/>
                <w14:textFill>
                  <w14:solidFill>
                    <w14:schemeClr w14:val="tx1"/>
                  </w14:solidFill>
                </w14:textFill>
              </w:rPr>
              <w:t>.1</w:t>
            </w:r>
          </w:p>
        </w:tc>
        <w:tc>
          <w:tcPr>
            <w:tcW w:w="1721" w:type="dxa"/>
            <w:tcBorders>
              <w:top w:val="nil"/>
              <w:left w:val="nil"/>
              <w:bottom w:val="single" w:color="auto" w:sz="4" w:space="0"/>
              <w:right w:val="single" w:color="auto" w:sz="4" w:space="0"/>
            </w:tcBorders>
            <w:noWrap/>
            <w:vAlign w:val="center"/>
          </w:tcPr>
          <w:p>
            <w:pPr>
              <w:widowControl/>
              <w:jc w:val="center"/>
              <w:rPr>
                <w:rFonts w:ascii="宋体" w:cs="宋体"/>
                <w:sz w:val="21"/>
                <w:szCs w:val="21"/>
              </w:rPr>
            </w:pPr>
            <w:r>
              <w:rPr>
                <w:rFonts w:hint="eastAsia" w:ascii="宋体" w:cs="宋体"/>
                <w:sz w:val="21"/>
                <w:szCs w:val="21"/>
              </w:rPr>
              <w:t>病毒</w:t>
            </w:r>
          </w:p>
        </w:tc>
        <w:tc>
          <w:tcPr>
            <w:tcW w:w="6629" w:type="dxa"/>
            <w:tcBorders>
              <w:top w:val="nil"/>
              <w:left w:val="nil"/>
              <w:bottom w:val="single" w:color="auto" w:sz="4" w:space="0"/>
              <w:right w:val="single" w:color="auto" w:sz="4" w:space="0"/>
            </w:tcBorders>
            <w:noWrap/>
            <w:vAlign w:val="center"/>
          </w:tcPr>
          <w:p>
            <w:pPr>
              <w:pStyle w:val="217"/>
              <w:jc w:val="both"/>
              <w:rPr>
                <w:sz w:val="21"/>
                <w:szCs w:val="21"/>
              </w:rPr>
            </w:pPr>
            <w:r>
              <w:rPr>
                <w:rFonts w:hint="eastAsia"/>
                <w:sz w:val="21"/>
                <w:szCs w:val="21"/>
              </w:rPr>
              <w:t>与以下病毒没有交叉反应。甲型流感病毒H1N1、甲型流感病毒H3N2、流感病毒B型、副流感1、副流感2、副流感3、腺病毒3型、腺病毒6型、腮腺炎、轮状病毒、麻疹、呼吸道合胞病毒Long株。</w:t>
            </w:r>
          </w:p>
        </w:tc>
      </w:tr>
      <w:tr>
        <w:tblPrEx>
          <w:tblLayout w:type="fixed"/>
          <w:tblCellMar>
            <w:top w:w="0" w:type="dxa"/>
            <w:left w:w="108" w:type="dxa"/>
            <w:bottom w:w="0" w:type="dxa"/>
            <w:right w:w="108" w:type="dxa"/>
          </w:tblCellMar>
        </w:tblPrEx>
        <w:trPr>
          <w:trHeight w:val="555" w:hRule="atLeast"/>
          <w:jc w:val="center"/>
        </w:trPr>
        <w:tc>
          <w:tcPr>
            <w:tcW w:w="839" w:type="dxa"/>
            <w:tcBorders>
              <w:top w:val="nil"/>
              <w:left w:val="single" w:color="auto" w:sz="8" w:space="0"/>
              <w:bottom w:val="single" w:color="auto" w:sz="4" w:space="0"/>
              <w:right w:val="single" w:color="auto" w:sz="4" w:space="0"/>
            </w:tcBorders>
            <w:noWrap/>
            <w:vAlign w:val="center"/>
          </w:tcPr>
          <w:p>
            <w:pPr>
              <w:widowControl/>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r>
              <w:rPr>
                <w:rFonts w:hint="eastAsia"/>
                <w:color w:val="000000" w:themeColor="text1"/>
                <w:sz w:val="21"/>
                <w:szCs w:val="21"/>
                <w14:textFill>
                  <w14:solidFill>
                    <w14:schemeClr w14:val="tx1"/>
                  </w14:solidFill>
                </w14:textFill>
              </w:rPr>
              <w:t>.2</w:t>
            </w:r>
          </w:p>
        </w:tc>
        <w:tc>
          <w:tcPr>
            <w:tcW w:w="1721" w:type="dxa"/>
            <w:tcBorders>
              <w:top w:val="nil"/>
              <w:left w:val="nil"/>
              <w:bottom w:val="single" w:color="auto" w:sz="4" w:space="0"/>
              <w:right w:val="single" w:color="auto" w:sz="4" w:space="0"/>
            </w:tcBorders>
            <w:noWrap/>
            <w:vAlign w:val="center"/>
          </w:tcPr>
          <w:p>
            <w:pPr>
              <w:widowControl/>
              <w:jc w:val="center"/>
              <w:rPr>
                <w:rFonts w:ascii="宋体" w:cs="宋体"/>
                <w:sz w:val="21"/>
                <w:szCs w:val="21"/>
              </w:rPr>
            </w:pPr>
            <w:r>
              <w:rPr>
                <w:rFonts w:hint="eastAsia" w:ascii="宋体" w:cs="宋体"/>
                <w:sz w:val="21"/>
                <w:szCs w:val="21"/>
              </w:rPr>
              <w:t>衣原体</w:t>
            </w:r>
          </w:p>
        </w:tc>
        <w:tc>
          <w:tcPr>
            <w:tcW w:w="6629" w:type="dxa"/>
            <w:tcBorders>
              <w:top w:val="nil"/>
              <w:left w:val="nil"/>
              <w:bottom w:val="single" w:color="auto" w:sz="4" w:space="0"/>
              <w:right w:val="single" w:color="auto" w:sz="4" w:space="0"/>
            </w:tcBorders>
            <w:noWrap/>
            <w:vAlign w:val="center"/>
          </w:tcPr>
          <w:p>
            <w:pPr>
              <w:widowControl/>
              <w:rPr>
                <w:rFonts w:ascii="宋体" w:cs="宋体"/>
                <w:sz w:val="21"/>
                <w:szCs w:val="21"/>
              </w:rPr>
            </w:pPr>
            <w:r>
              <w:rPr>
                <w:rFonts w:hint="eastAsia"/>
                <w:sz w:val="21"/>
                <w:szCs w:val="21"/>
              </w:rPr>
              <w:t>与以下衣原体没有交叉反应。肺炎衣原体、沙眼衣原体。</w:t>
            </w:r>
          </w:p>
        </w:tc>
      </w:tr>
      <w:tr>
        <w:tblPrEx>
          <w:tblLayout w:type="fixed"/>
          <w:tblCellMar>
            <w:top w:w="0" w:type="dxa"/>
            <w:left w:w="108" w:type="dxa"/>
            <w:bottom w:w="0" w:type="dxa"/>
            <w:right w:w="108" w:type="dxa"/>
          </w:tblCellMar>
        </w:tblPrEx>
        <w:trPr>
          <w:trHeight w:val="555" w:hRule="atLeast"/>
          <w:jc w:val="center"/>
        </w:trPr>
        <w:tc>
          <w:tcPr>
            <w:tcW w:w="839" w:type="dxa"/>
            <w:tcBorders>
              <w:top w:val="nil"/>
              <w:left w:val="single" w:color="auto" w:sz="8" w:space="0"/>
              <w:bottom w:val="single" w:color="auto" w:sz="4" w:space="0"/>
              <w:right w:val="single" w:color="auto" w:sz="4" w:space="0"/>
            </w:tcBorders>
            <w:noWrap/>
            <w:vAlign w:val="center"/>
          </w:tcPr>
          <w:p>
            <w:pPr>
              <w:widowControl/>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r>
              <w:rPr>
                <w:rFonts w:hint="eastAsia"/>
                <w:color w:val="000000" w:themeColor="text1"/>
                <w:sz w:val="21"/>
                <w:szCs w:val="21"/>
                <w14:textFill>
                  <w14:solidFill>
                    <w14:schemeClr w14:val="tx1"/>
                  </w14:solidFill>
                </w14:textFill>
              </w:rPr>
              <w:t>.3</w:t>
            </w:r>
          </w:p>
        </w:tc>
        <w:tc>
          <w:tcPr>
            <w:tcW w:w="1721" w:type="dxa"/>
            <w:tcBorders>
              <w:top w:val="nil"/>
              <w:left w:val="nil"/>
              <w:bottom w:val="single" w:color="auto" w:sz="4" w:space="0"/>
              <w:right w:val="single" w:color="auto" w:sz="4" w:space="0"/>
            </w:tcBorders>
            <w:noWrap/>
            <w:vAlign w:val="center"/>
          </w:tcPr>
          <w:p>
            <w:pPr>
              <w:widowControl/>
              <w:jc w:val="center"/>
              <w:rPr>
                <w:rFonts w:ascii="宋体" w:cs="宋体"/>
                <w:sz w:val="21"/>
                <w:szCs w:val="21"/>
              </w:rPr>
            </w:pPr>
            <w:r>
              <w:rPr>
                <w:rFonts w:hint="eastAsia" w:ascii="宋体" w:cs="宋体"/>
                <w:sz w:val="21"/>
                <w:szCs w:val="21"/>
              </w:rPr>
              <w:t>细菌</w:t>
            </w:r>
          </w:p>
        </w:tc>
        <w:tc>
          <w:tcPr>
            <w:tcW w:w="6629" w:type="dxa"/>
            <w:tcBorders>
              <w:top w:val="nil"/>
              <w:left w:val="nil"/>
              <w:bottom w:val="single" w:color="auto" w:sz="4" w:space="0"/>
              <w:right w:val="single" w:color="auto" w:sz="4" w:space="0"/>
            </w:tcBorders>
            <w:noWrap/>
            <w:vAlign w:val="center"/>
          </w:tcPr>
          <w:p>
            <w:pPr>
              <w:widowControl/>
              <w:rPr>
                <w:sz w:val="21"/>
                <w:szCs w:val="21"/>
              </w:rPr>
            </w:pPr>
            <w:r>
              <w:rPr>
                <w:rFonts w:hint="eastAsia"/>
                <w:sz w:val="21"/>
                <w:szCs w:val="21"/>
              </w:rPr>
              <w:t>与以下细菌没有交叉反应。大肠埃希菌、绿脓杆菌、卡他布兰汉菌、粪肠球菌、柠檬酸杆菌、金黄色葡萄球菌、克雷伯氏肺炎杆菌、小肠结肠炎耶尔森菌、副溶血弧菌、福氏志贺菌、脆弱拟杆菌、牛结核分枝杆菌、结核分枝杆菌、鸟分枝杆菌、肠炎沙门菌、猿猴分枝杆菌、龟分枝杆菌、空肠弯曲菌。</w:t>
            </w:r>
          </w:p>
        </w:tc>
      </w:tr>
    </w:tbl>
    <w:p>
      <w:pPr>
        <w:numPr>
          <w:ilvl w:val="0"/>
          <w:numId w:val="12"/>
        </w:numPr>
        <w:spacing w:line="360" w:lineRule="auto"/>
        <w:ind w:left="0" w:leftChars="0" w:firstLine="0" w:firstLineChars="0"/>
        <w:rPr>
          <w:rFonts w:hint="eastAsia" w:ascii="宋体" w:hAnsi="宋体" w:eastAsia="宋体" w:cs="宋体"/>
          <w:b/>
          <w:sz w:val="24"/>
          <w:szCs w:val="24"/>
        </w:rPr>
      </w:pPr>
      <w:r>
        <w:rPr>
          <w:rFonts w:hint="eastAsia" w:ascii="宋体" w:hAnsi="宋体" w:eastAsia="宋体" w:cs="宋体"/>
          <w:b/>
          <w:sz w:val="24"/>
          <w:szCs w:val="24"/>
        </w:rPr>
        <w:br w:type="page"/>
      </w:r>
    </w:p>
    <w:p>
      <w:pPr>
        <w:pStyle w:val="56"/>
        <w:numPr>
          <w:ilvl w:val="0"/>
          <w:numId w:val="0"/>
        </w:numPr>
        <w:spacing w:line="360" w:lineRule="auto"/>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包件六：</w:t>
      </w:r>
    </w:p>
    <w:p>
      <w:pPr>
        <w:pStyle w:val="56"/>
        <w:numPr>
          <w:ilvl w:val="0"/>
          <w:numId w:val="13"/>
        </w:numPr>
        <w:spacing w:line="360" w:lineRule="auto"/>
        <w:ind w:left="-420" w:leftChars="0" w:firstLine="420" w:firstLineChars="0"/>
        <w:rPr>
          <w:rFonts w:hint="eastAsia" w:ascii="宋体" w:hAnsi="宋体" w:eastAsia="宋体"/>
          <w:b w:val="0"/>
          <w:bCs w:val="0"/>
          <w:sz w:val="24"/>
          <w:szCs w:val="24"/>
          <w:lang w:val="en-US" w:eastAsia="zh-CN"/>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b w:val="0"/>
          <w:bCs w:val="0"/>
          <w:sz w:val="24"/>
          <w:szCs w:val="24"/>
          <w:lang w:val="en-US" w:eastAsia="zh-CN"/>
        </w:rPr>
        <w:t>：病原体和感染因子类的检测相关试剂</w:t>
      </w:r>
    </w:p>
    <w:p>
      <w:pPr>
        <w:pStyle w:val="56"/>
        <w:numPr>
          <w:ilvl w:val="0"/>
          <w:numId w:val="1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6"/>
        <w:numPr>
          <w:ilvl w:val="0"/>
          <w:numId w:val="1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6"/>
        <w:numPr>
          <w:ilvl w:val="0"/>
          <w:numId w:val="13"/>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6"/>
        <w:widowControl w:val="0"/>
        <w:numPr>
          <w:ilvl w:val="0"/>
          <w:numId w:val="13"/>
        </w:numPr>
        <w:spacing w:line="360" w:lineRule="auto"/>
        <w:ind w:left="-420" w:leftChars="0" w:firstLine="420" w:firstLineChars="0"/>
        <w:jc w:val="both"/>
        <w:rPr>
          <w:rFonts w:hint="eastAsia" w:ascii="宋体" w:hAnsi="宋体" w:eastAsia="宋体"/>
          <w:b w:val="0"/>
          <w:bCs w:val="0"/>
          <w:sz w:val="24"/>
          <w:szCs w:val="24"/>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numPr>
          <w:ilvl w:val="0"/>
          <w:numId w:val="14"/>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★投标人需响应医院SPD项目相关要求,并与上药医疗供应链管理(上海)有限公司签署相关SPD协议。</w:t>
      </w:r>
    </w:p>
    <w:tbl>
      <w:tblPr>
        <w:tblStyle w:val="32"/>
        <w:tblW w:w="9114" w:type="dxa"/>
        <w:tblInd w:w="0" w:type="dxa"/>
        <w:tblLayout w:type="fixed"/>
        <w:tblCellMar>
          <w:top w:w="0" w:type="dxa"/>
          <w:left w:w="108" w:type="dxa"/>
          <w:bottom w:w="0" w:type="dxa"/>
          <w:right w:w="108" w:type="dxa"/>
        </w:tblCellMar>
      </w:tblPr>
      <w:tblGrid>
        <w:gridCol w:w="714"/>
        <w:gridCol w:w="1438"/>
        <w:gridCol w:w="6962"/>
      </w:tblGrid>
      <w:tr>
        <w:tblPrEx>
          <w:tblLayout w:type="fixed"/>
          <w:tblCellMar>
            <w:top w:w="0" w:type="dxa"/>
            <w:left w:w="108" w:type="dxa"/>
            <w:bottom w:w="0" w:type="dxa"/>
            <w:right w:w="108" w:type="dxa"/>
          </w:tblCellMar>
        </w:tblPrEx>
        <w:trPr>
          <w:trHeight w:val="368"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一、</w:t>
            </w:r>
          </w:p>
        </w:tc>
        <w:tc>
          <w:tcPr>
            <w:tcW w:w="8400" w:type="dxa"/>
            <w:gridSpan w:val="2"/>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sz w:val="24"/>
                <w:lang w:val="en-US" w:eastAsia="zh-CN"/>
              </w:rPr>
            </w:pPr>
            <w:r>
              <w:rPr>
                <w:rFonts w:hint="eastAsia" w:ascii="宋体" w:hAnsi="宋体" w:eastAsia="宋体" w:cs="宋体"/>
                <w:sz w:val="24"/>
              </w:rPr>
              <w:t>丙型肝炎病毒核心抗原检测试剂盒</w:t>
            </w:r>
          </w:p>
        </w:tc>
      </w:tr>
      <w:tr>
        <w:tblPrEx>
          <w:tblLayout w:type="fixed"/>
          <w:tblCellMar>
            <w:top w:w="0" w:type="dxa"/>
            <w:left w:w="108" w:type="dxa"/>
            <w:bottom w:w="0" w:type="dxa"/>
            <w:right w:w="108" w:type="dxa"/>
          </w:tblCellMar>
        </w:tblPrEx>
        <w:trPr>
          <w:trHeight w:val="368"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kern w:val="0"/>
                <w:sz w:val="24"/>
                <w:lang w:val="en-US" w:eastAsia="zh-CN"/>
              </w:rPr>
            </w:pPr>
            <w:r>
              <w:rPr>
                <w:rFonts w:hint="eastAsia" w:ascii="宋体" w:hAnsi="宋体" w:eastAsia="宋体" w:cs="宋体"/>
                <w:sz w:val="24"/>
              </w:rPr>
              <w:t>序号</w:t>
            </w:r>
          </w:p>
        </w:tc>
        <w:tc>
          <w:tcPr>
            <w:tcW w:w="143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kern w:val="0"/>
                <w:sz w:val="24"/>
              </w:rPr>
            </w:pPr>
            <w:r>
              <w:rPr>
                <w:rFonts w:hint="eastAsia" w:ascii="宋体" w:hAnsi="宋体" w:eastAsia="宋体" w:cs="宋体"/>
                <w:sz w:val="24"/>
              </w:rPr>
              <w:t>名称</w:t>
            </w:r>
          </w:p>
        </w:tc>
        <w:tc>
          <w:tcPr>
            <w:tcW w:w="6962"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kern w:val="0"/>
                <w:sz w:val="24"/>
                <w:lang w:eastAsia="zh-CN"/>
              </w:rPr>
            </w:pPr>
            <w:r>
              <w:rPr>
                <w:rFonts w:hint="eastAsia" w:ascii="宋体" w:hAnsi="宋体" w:eastAsia="宋体" w:cs="宋体"/>
                <w:sz w:val="24"/>
                <w:lang w:val="en-US" w:eastAsia="zh-CN"/>
              </w:rPr>
              <w:t>参数</w:t>
            </w:r>
          </w:p>
        </w:tc>
      </w:tr>
      <w:tr>
        <w:tblPrEx>
          <w:tblLayout w:type="fixed"/>
          <w:tblCellMar>
            <w:top w:w="0" w:type="dxa"/>
            <w:left w:w="108" w:type="dxa"/>
            <w:bottom w:w="0" w:type="dxa"/>
            <w:right w:w="108" w:type="dxa"/>
          </w:tblCellMar>
        </w:tblPrEx>
        <w:trPr>
          <w:trHeight w:val="765" w:hRule="atLeast"/>
        </w:trPr>
        <w:tc>
          <w:tcPr>
            <w:tcW w:w="71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kern w:val="0"/>
                <w:sz w:val="24"/>
              </w:rPr>
            </w:pPr>
            <w:r>
              <w:rPr>
                <w:rFonts w:hint="eastAsia" w:ascii="宋体" w:hAnsi="宋体" w:eastAsia="宋体" w:cs="宋体"/>
                <w:sz w:val="24"/>
              </w:rPr>
              <w:t>1</w:t>
            </w:r>
          </w:p>
        </w:tc>
        <w:tc>
          <w:tcPr>
            <w:tcW w:w="1438"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kern w:val="0"/>
                <w:sz w:val="24"/>
              </w:rPr>
            </w:pPr>
            <w:r>
              <w:rPr>
                <w:rFonts w:hint="eastAsia" w:ascii="宋体" w:hAnsi="宋体" w:eastAsia="宋体" w:cs="宋体"/>
                <w:sz w:val="24"/>
              </w:rPr>
              <w:t>用途</w:t>
            </w:r>
          </w:p>
        </w:tc>
        <w:tc>
          <w:tcPr>
            <w:tcW w:w="6962"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left"/>
              <w:rPr>
                <w:rFonts w:hint="eastAsia" w:ascii="宋体" w:hAnsi="宋体" w:eastAsia="宋体" w:cs="宋体"/>
                <w:kern w:val="0"/>
                <w:sz w:val="24"/>
              </w:rPr>
            </w:pPr>
            <w:r>
              <w:rPr>
                <w:rFonts w:hint="eastAsia" w:ascii="宋体" w:hAnsi="宋体" w:eastAsia="宋体" w:cs="宋体"/>
                <w:sz w:val="24"/>
              </w:rPr>
              <w:t>定性检测人血清或血浆样本丙型肝炎病毒核心抗原，用于丙肝病毒感染疑似病例的筛查及诊断。</w:t>
            </w:r>
          </w:p>
        </w:tc>
      </w:tr>
      <w:tr>
        <w:tblPrEx>
          <w:tblLayout w:type="fixed"/>
          <w:tblCellMar>
            <w:top w:w="0" w:type="dxa"/>
            <w:left w:w="108" w:type="dxa"/>
            <w:bottom w:w="0" w:type="dxa"/>
            <w:right w:w="108" w:type="dxa"/>
          </w:tblCellMar>
        </w:tblPrEx>
        <w:trPr>
          <w:trHeight w:val="324" w:hRule="atLeast"/>
        </w:trPr>
        <w:tc>
          <w:tcPr>
            <w:tcW w:w="71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kern w:val="0"/>
                <w:sz w:val="24"/>
              </w:rPr>
            </w:pPr>
            <w:r>
              <w:rPr>
                <w:rFonts w:hint="eastAsia" w:ascii="宋体" w:hAnsi="宋体" w:eastAsia="宋体" w:cs="宋体"/>
                <w:sz w:val="24"/>
              </w:rPr>
              <w:t>3</w:t>
            </w:r>
          </w:p>
        </w:tc>
        <w:tc>
          <w:tcPr>
            <w:tcW w:w="1438"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rPr>
              <w:t>有效期</w:t>
            </w:r>
          </w:p>
        </w:tc>
        <w:tc>
          <w:tcPr>
            <w:tcW w:w="6962"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left"/>
              <w:rPr>
                <w:rFonts w:hint="eastAsia" w:ascii="宋体" w:hAnsi="宋体" w:eastAsia="宋体" w:cs="宋体"/>
                <w:kern w:val="0"/>
                <w:sz w:val="24"/>
                <w:szCs w:val="24"/>
                <w:lang w:val="en-US" w:eastAsia="zh-CN" w:bidi="ar-SA"/>
              </w:rPr>
            </w:pPr>
            <w:r>
              <w:rPr>
                <w:rFonts w:hint="eastAsia" w:ascii="宋体" w:hAnsi="宋体" w:eastAsia="宋体" w:cs="宋体"/>
                <w:sz w:val="24"/>
              </w:rPr>
              <w:t>≥12个月</w:t>
            </w:r>
          </w:p>
        </w:tc>
      </w:tr>
      <w:tr>
        <w:tblPrEx>
          <w:tblLayout w:type="fixed"/>
          <w:tblCellMar>
            <w:top w:w="0" w:type="dxa"/>
            <w:left w:w="108" w:type="dxa"/>
            <w:bottom w:w="0" w:type="dxa"/>
            <w:right w:w="108" w:type="dxa"/>
          </w:tblCellMar>
        </w:tblPrEx>
        <w:trPr>
          <w:trHeight w:val="324" w:hRule="atLeast"/>
        </w:trPr>
        <w:tc>
          <w:tcPr>
            <w:tcW w:w="71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kern w:val="0"/>
                <w:sz w:val="24"/>
              </w:rPr>
            </w:pPr>
            <w:r>
              <w:rPr>
                <w:rFonts w:hint="eastAsia" w:ascii="宋体" w:hAnsi="宋体" w:eastAsia="宋体" w:cs="宋体"/>
                <w:sz w:val="24"/>
              </w:rPr>
              <w:t>4</w:t>
            </w:r>
          </w:p>
        </w:tc>
        <w:tc>
          <w:tcPr>
            <w:tcW w:w="1438"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rPr>
              <w:t>样本类型</w:t>
            </w:r>
          </w:p>
        </w:tc>
        <w:tc>
          <w:tcPr>
            <w:tcW w:w="6962"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left"/>
              <w:rPr>
                <w:rFonts w:hint="eastAsia" w:ascii="宋体" w:hAnsi="宋体" w:eastAsia="宋体" w:cs="宋体"/>
                <w:kern w:val="0"/>
                <w:sz w:val="24"/>
                <w:szCs w:val="24"/>
                <w:lang w:val="en-US" w:eastAsia="zh-CN" w:bidi="ar-SA"/>
              </w:rPr>
            </w:pPr>
            <w:r>
              <w:rPr>
                <w:rFonts w:hint="eastAsia" w:ascii="宋体" w:hAnsi="宋体" w:eastAsia="宋体" w:cs="宋体"/>
                <w:sz w:val="24"/>
              </w:rPr>
              <w:t>血浆和血浆</w:t>
            </w:r>
          </w:p>
        </w:tc>
      </w:tr>
      <w:tr>
        <w:tblPrEx>
          <w:tblLayout w:type="fixed"/>
          <w:tblCellMar>
            <w:top w:w="0" w:type="dxa"/>
            <w:left w:w="108" w:type="dxa"/>
            <w:bottom w:w="0" w:type="dxa"/>
            <w:right w:w="108" w:type="dxa"/>
          </w:tblCellMar>
        </w:tblPrEx>
        <w:trPr>
          <w:trHeight w:val="324" w:hRule="atLeast"/>
        </w:trPr>
        <w:tc>
          <w:tcPr>
            <w:tcW w:w="71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kern w:val="0"/>
                <w:sz w:val="24"/>
              </w:rPr>
            </w:pPr>
            <w:r>
              <w:rPr>
                <w:rFonts w:hint="eastAsia" w:ascii="宋体" w:hAnsi="宋体" w:eastAsia="宋体" w:cs="宋体"/>
                <w:sz w:val="24"/>
              </w:rPr>
              <w:t>5</w:t>
            </w:r>
          </w:p>
        </w:tc>
        <w:tc>
          <w:tcPr>
            <w:tcW w:w="1438"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rPr>
              <w:t>方法学</w:t>
            </w:r>
          </w:p>
        </w:tc>
        <w:tc>
          <w:tcPr>
            <w:tcW w:w="6962"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left"/>
              <w:rPr>
                <w:rFonts w:hint="eastAsia" w:ascii="宋体" w:hAnsi="宋体" w:eastAsia="宋体" w:cs="宋体"/>
                <w:kern w:val="0"/>
                <w:sz w:val="24"/>
                <w:szCs w:val="24"/>
                <w:lang w:val="en-US" w:eastAsia="zh-CN" w:bidi="ar-SA"/>
              </w:rPr>
            </w:pPr>
            <w:r>
              <w:rPr>
                <w:rFonts w:hint="eastAsia" w:ascii="宋体" w:hAnsi="宋体" w:eastAsia="宋体" w:cs="宋体"/>
                <w:sz w:val="24"/>
              </w:rPr>
              <w:t>酶联免疫法（双抗夹心法）</w:t>
            </w:r>
          </w:p>
        </w:tc>
      </w:tr>
      <w:tr>
        <w:tblPrEx>
          <w:tblLayout w:type="fixed"/>
          <w:tblCellMar>
            <w:top w:w="0" w:type="dxa"/>
            <w:left w:w="108" w:type="dxa"/>
            <w:bottom w:w="0" w:type="dxa"/>
            <w:right w:w="108" w:type="dxa"/>
          </w:tblCellMar>
        </w:tblPrEx>
        <w:trPr>
          <w:trHeight w:val="324" w:hRule="atLeast"/>
        </w:trPr>
        <w:tc>
          <w:tcPr>
            <w:tcW w:w="71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kern w:val="0"/>
                <w:sz w:val="24"/>
              </w:rPr>
            </w:pPr>
            <w:r>
              <w:rPr>
                <w:rFonts w:hint="eastAsia" w:ascii="宋体" w:hAnsi="宋体" w:eastAsia="宋体" w:cs="宋体"/>
                <w:sz w:val="24"/>
              </w:rPr>
              <w:t>7</w:t>
            </w:r>
          </w:p>
        </w:tc>
        <w:tc>
          <w:tcPr>
            <w:tcW w:w="1438"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rPr>
              <w:t>溯源要求</w:t>
            </w:r>
          </w:p>
        </w:tc>
        <w:tc>
          <w:tcPr>
            <w:tcW w:w="6962"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left"/>
              <w:rPr>
                <w:rFonts w:hint="eastAsia" w:ascii="宋体" w:hAnsi="宋体" w:eastAsia="宋体" w:cs="宋体"/>
                <w:kern w:val="0"/>
                <w:sz w:val="24"/>
                <w:szCs w:val="24"/>
                <w:lang w:val="en-US" w:eastAsia="zh-CN" w:bidi="ar-SA"/>
              </w:rPr>
            </w:pPr>
            <w:r>
              <w:rPr>
                <w:rFonts w:hint="eastAsia" w:ascii="宋体" w:hAnsi="宋体" w:eastAsia="宋体" w:cs="宋体"/>
              </w:rPr>
              <w:t>试剂盒有国家条码中心批准的条码</w:t>
            </w:r>
          </w:p>
        </w:tc>
      </w:tr>
      <w:tr>
        <w:tblPrEx>
          <w:tblLayout w:type="fixed"/>
          <w:tblCellMar>
            <w:top w:w="0" w:type="dxa"/>
            <w:left w:w="108" w:type="dxa"/>
            <w:bottom w:w="0" w:type="dxa"/>
            <w:right w:w="108" w:type="dxa"/>
          </w:tblCellMar>
        </w:tblPrEx>
        <w:trPr>
          <w:trHeight w:val="634" w:hRule="atLeast"/>
        </w:trPr>
        <w:tc>
          <w:tcPr>
            <w:tcW w:w="71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kern w:val="0"/>
                <w:sz w:val="24"/>
              </w:rPr>
            </w:pPr>
            <w:r>
              <w:rPr>
                <w:rFonts w:hint="eastAsia" w:ascii="宋体" w:hAnsi="宋体" w:eastAsia="宋体" w:cs="宋体"/>
                <w:sz w:val="24"/>
              </w:rPr>
              <w:t>8</w:t>
            </w:r>
          </w:p>
        </w:tc>
        <w:tc>
          <w:tcPr>
            <w:tcW w:w="1438"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rPr>
              <w:t>检测范围</w:t>
            </w:r>
          </w:p>
        </w:tc>
        <w:tc>
          <w:tcPr>
            <w:tcW w:w="6962"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left"/>
              <w:rPr>
                <w:rFonts w:hint="eastAsia" w:ascii="宋体" w:hAnsi="宋体" w:eastAsia="宋体" w:cs="宋体"/>
                <w:kern w:val="0"/>
                <w:sz w:val="24"/>
                <w:szCs w:val="24"/>
                <w:lang w:val="en-US" w:eastAsia="zh-CN" w:bidi="ar-SA"/>
              </w:rPr>
            </w:pPr>
            <w:r>
              <w:rPr>
                <w:rFonts w:hint="eastAsia" w:ascii="宋体" w:hAnsi="宋体" w:eastAsia="宋体" w:cs="宋体"/>
                <w:sz w:val="24"/>
              </w:rPr>
              <w:t>全抗原（游离的核心抗原+抗原抗体复合物中的抗原）</w:t>
            </w:r>
          </w:p>
        </w:tc>
      </w:tr>
      <w:tr>
        <w:tblPrEx>
          <w:tblLayout w:type="fixed"/>
          <w:tblCellMar>
            <w:top w:w="0" w:type="dxa"/>
            <w:left w:w="108" w:type="dxa"/>
            <w:bottom w:w="0" w:type="dxa"/>
            <w:right w:w="108" w:type="dxa"/>
          </w:tblCellMar>
        </w:tblPrEx>
        <w:trPr>
          <w:trHeight w:val="582" w:hRule="atLeast"/>
        </w:trPr>
        <w:tc>
          <w:tcPr>
            <w:tcW w:w="71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kern w:val="0"/>
                <w:sz w:val="24"/>
              </w:rPr>
            </w:pPr>
            <w:r>
              <w:rPr>
                <w:rFonts w:hint="eastAsia" w:ascii="宋体" w:hAnsi="宋体" w:eastAsia="宋体" w:cs="宋体"/>
                <w:sz w:val="24"/>
              </w:rPr>
              <w:t>9</w:t>
            </w:r>
          </w:p>
        </w:tc>
        <w:tc>
          <w:tcPr>
            <w:tcW w:w="1438"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rPr>
              <w:t>检测系统</w:t>
            </w:r>
          </w:p>
        </w:tc>
        <w:tc>
          <w:tcPr>
            <w:tcW w:w="6962"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left"/>
              <w:rPr>
                <w:rFonts w:hint="eastAsia" w:ascii="宋体" w:hAnsi="宋体" w:eastAsia="宋体" w:cs="宋体"/>
                <w:kern w:val="0"/>
                <w:sz w:val="24"/>
                <w:szCs w:val="24"/>
                <w:lang w:val="en-US" w:eastAsia="zh-CN" w:bidi="ar-SA"/>
              </w:rPr>
            </w:pPr>
            <w:r>
              <w:rPr>
                <w:rFonts w:hint="eastAsia" w:ascii="宋体" w:hAnsi="宋体" w:eastAsia="宋体" w:cs="宋体"/>
              </w:rPr>
              <w:t>HRP-TMB系统，多聚酶联放大技术提高灵敏度</w:t>
            </w:r>
          </w:p>
        </w:tc>
      </w:tr>
      <w:tr>
        <w:tblPrEx>
          <w:tblLayout w:type="fixed"/>
          <w:tblCellMar>
            <w:top w:w="0" w:type="dxa"/>
            <w:left w:w="108" w:type="dxa"/>
            <w:bottom w:w="0" w:type="dxa"/>
            <w:right w:w="108" w:type="dxa"/>
          </w:tblCellMar>
        </w:tblPrEx>
        <w:trPr>
          <w:trHeight w:val="324"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kern w:val="0"/>
                <w:sz w:val="24"/>
              </w:rPr>
            </w:pPr>
            <w:r>
              <w:rPr>
                <w:rFonts w:hint="eastAsia" w:ascii="宋体" w:hAnsi="宋体" w:eastAsia="宋体" w:cs="宋体"/>
                <w:sz w:val="24"/>
              </w:rPr>
              <w:t>10</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rPr>
              <w:t>质控准确度</w:t>
            </w:r>
          </w:p>
        </w:tc>
        <w:tc>
          <w:tcPr>
            <w:tcW w:w="696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hint="eastAsia" w:ascii="宋体" w:hAnsi="宋体" w:eastAsia="宋体" w:cs="宋体"/>
                <w:kern w:val="0"/>
                <w:sz w:val="24"/>
                <w:szCs w:val="24"/>
                <w:lang w:val="en-US" w:eastAsia="zh-CN" w:bidi="ar-SA"/>
              </w:rPr>
            </w:pPr>
            <w:r>
              <w:rPr>
                <w:rFonts w:hint="eastAsia" w:ascii="宋体" w:hAnsi="宋体" w:eastAsia="宋体" w:cs="宋体"/>
                <w:sz w:val="24"/>
              </w:rPr>
              <w:t>100%</w:t>
            </w:r>
          </w:p>
        </w:tc>
      </w:tr>
      <w:tr>
        <w:tblPrEx>
          <w:tblLayout w:type="fixed"/>
          <w:tblCellMar>
            <w:top w:w="0" w:type="dxa"/>
            <w:left w:w="108" w:type="dxa"/>
            <w:bottom w:w="0" w:type="dxa"/>
            <w:right w:w="108" w:type="dxa"/>
          </w:tblCellMar>
        </w:tblPrEx>
        <w:trPr>
          <w:trHeight w:val="678"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kern w:val="0"/>
                <w:sz w:val="24"/>
              </w:rPr>
            </w:pPr>
            <w:r>
              <w:rPr>
                <w:rFonts w:hint="eastAsia" w:ascii="宋体" w:hAnsi="宋体" w:eastAsia="宋体" w:cs="宋体"/>
                <w:sz w:val="24"/>
              </w:rPr>
              <w:t>11</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rPr>
              <w:t>精密度</w:t>
            </w:r>
          </w:p>
        </w:tc>
        <w:tc>
          <w:tcPr>
            <w:tcW w:w="696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hint="eastAsia" w:ascii="宋体" w:hAnsi="宋体" w:eastAsia="宋体" w:cs="宋体"/>
                <w:kern w:val="0"/>
                <w:sz w:val="24"/>
                <w:szCs w:val="24"/>
                <w:lang w:val="en-US" w:eastAsia="zh-CN" w:bidi="ar-SA"/>
              </w:rPr>
            </w:pPr>
            <w:r>
              <w:rPr>
                <w:rFonts w:hint="eastAsia" w:ascii="宋体" w:hAnsi="宋体" w:eastAsia="宋体" w:cs="宋体"/>
                <w:sz w:val="24"/>
              </w:rPr>
              <w:t>CV≤15%</w:t>
            </w:r>
          </w:p>
        </w:tc>
      </w:tr>
      <w:tr>
        <w:tblPrEx>
          <w:tblLayout w:type="fixed"/>
          <w:tblCellMar>
            <w:top w:w="0" w:type="dxa"/>
            <w:left w:w="108" w:type="dxa"/>
            <w:bottom w:w="0" w:type="dxa"/>
            <w:right w:w="108" w:type="dxa"/>
          </w:tblCellMar>
        </w:tblPrEx>
        <w:trPr>
          <w:trHeight w:val="539"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二、</w:t>
            </w:r>
          </w:p>
        </w:tc>
        <w:tc>
          <w:tcPr>
            <w:tcW w:w="84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kern w:val="0"/>
                <w:sz w:val="24"/>
              </w:rPr>
            </w:pPr>
            <w:r>
              <w:rPr>
                <w:rFonts w:hint="eastAsia" w:ascii="宋体" w:hAnsi="宋体" w:eastAsia="宋体" w:cs="宋体"/>
                <w:sz w:val="24"/>
              </w:rPr>
              <w:t>肝素结合蛋白测定试剂盒</w:t>
            </w:r>
          </w:p>
        </w:tc>
      </w:tr>
      <w:tr>
        <w:tblPrEx>
          <w:tblLayout w:type="fixed"/>
          <w:tblCellMar>
            <w:top w:w="0" w:type="dxa"/>
            <w:left w:w="108" w:type="dxa"/>
            <w:bottom w:w="0" w:type="dxa"/>
            <w:right w:w="108" w:type="dxa"/>
          </w:tblCellMar>
        </w:tblPrEx>
        <w:trPr>
          <w:trHeight w:val="324"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kern w:val="2"/>
                <w:sz w:val="24"/>
                <w:szCs w:val="22"/>
                <w:lang w:val="en-US" w:eastAsia="zh-CN" w:bidi="ar-SA"/>
              </w:rPr>
            </w:pPr>
            <w:r>
              <w:rPr>
                <w:rFonts w:hint="eastAsia" w:ascii="宋体" w:hAnsi="宋体" w:eastAsia="宋体" w:cs="宋体"/>
                <w:sz w:val="24"/>
              </w:rPr>
              <w:t>序号</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kern w:val="2"/>
                <w:sz w:val="24"/>
                <w:szCs w:val="22"/>
                <w:lang w:val="en-US" w:eastAsia="zh-CN" w:bidi="ar-SA"/>
              </w:rPr>
            </w:pPr>
            <w:r>
              <w:rPr>
                <w:rFonts w:hint="eastAsia" w:ascii="宋体" w:hAnsi="宋体" w:eastAsia="宋体" w:cs="宋体"/>
                <w:sz w:val="24"/>
              </w:rPr>
              <w:t>名称</w:t>
            </w:r>
          </w:p>
        </w:tc>
        <w:tc>
          <w:tcPr>
            <w:tcW w:w="696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kern w:val="2"/>
                <w:sz w:val="24"/>
                <w:szCs w:val="22"/>
                <w:lang w:val="en-US" w:eastAsia="zh-CN" w:bidi="ar-SA"/>
              </w:rPr>
            </w:pPr>
            <w:r>
              <w:rPr>
                <w:rFonts w:hint="eastAsia" w:ascii="宋体" w:hAnsi="宋体" w:eastAsia="宋体" w:cs="宋体"/>
                <w:sz w:val="24"/>
                <w:lang w:val="en-US" w:eastAsia="zh-CN"/>
              </w:rPr>
              <w:t>参数</w:t>
            </w:r>
          </w:p>
        </w:tc>
      </w:tr>
      <w:tr>
        <w:tblPrEx>
          <w:tblLayout w:type="fixed"/>
          <w:tblCellMar>
            <w:top w:w="0" w:type="dxa"/>
            <w:left w:w="108" w:type="dxa"/>
            <w:bottom w:w="0" w:type="dxa"/>
            <w:right w:w="108" w:type="dxa"/>
          </w:tblCellMar>
        </w:tblPrEx>
        <w:trPr>
          <w:trHeight w:val="324"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kern w:val="2"/>
                <w:sz w:val="24"/>
                <w:szCs w:val="22"/>
                <w:lang w:val="en-US" w:eastAsia="zh-CN" w:bidi="ar-SA"/>
              </w:rPr>
            </w:pPr>
            <w:r>
              <w:rPr>
                <w:rFonts w:hint="eastAsia" w:ascii="宋体" w:hAnsi="宋体" w:eastAsia="宋体" w:cs="宋体"/>
                <w:sz w:val="24"/>
              </w:rPr>
              <w:t>1</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kern w:val="2"/>
                <w:sz w:val="24"/>
                <w:szCs w:val="22"/>
                <w:lang w:val="en-US" w:eastAsia="zh-CN" w:bidi="ar-SA"/>
              </w:rPr>
            </w:pPr>
            <w:r>
              <w:rPr>
                <w:rFonts w:hint="eastAsia" w:ascii="宋体" w:hAnsi="宋体" w:eastAsia="宋体" w:cs="宋体"/>
                <w:sz w:val="24"/>
              </w:rPr>
              <w:t>设用途</w:t>
            </w:r>
          </w:p>
        </w:tc>
        <w:tc>
          <w:tcPr>
            <w:tcW w:w="696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hint="eastAsia" w:ascii="宋体" w:hAnsi="宋体" w:eastAsia="宋体" w:cs="宋体"/>
                <w:kern w:val="2"/>
                <w:sz w:val="24"/>
                <w:szCs w:val="22"/>
                <w:lang w:val="en-US" w:eastAsia="zh-CN" w:bidi="ar-SA"/>
              </w:rPr>
            </w:pPr>
            <w:r>
              <w:rPr>
                <w:rFonts w:hint="eastAsia" w:ascii="宋体" w:hAnsi="宋体" w:eastAsia="宋体" w:cs="宋体"/>
                <w:sz w:val="24"/>
              </w:rPr>
              <w:t>体外定量检测人血浆中的肝素结合蛋白（HBP）的浓度，HBP血浆浓度升高与重度脓毒症和脓毒性休克的严重程度相关。</w:t>
            </w:r>
          </w:p>
        </w:tc>
      </w:tr>
      <w:tr>
        <w:tblPrEx>
          <w:tblLayout w:type="fixed"/>
          <w:tblCellMar>
            <w:top w:w="0" w:type="dxa"/>
            <w:left w:w="108" w:type="dxa"/>
            <w:bottom w:w="0" w:type="dxa"/>
            <w:right w:w="108" w:type="dxa"/>
          </w:tblCellMar>
        </w:tblPrEx>
        <w:trPr>
          <w:trHeight w:val="324"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kern w:val="2"/>
                <w:sz w:val="24"/>
                <w:szCs w:val="22"/>
                <w:lang w:val="en-US" w:eastAsia="zh-CN" w:bidi="ar-SA"/>
              </w:rPr>
            </w:pPr>
            <w:r>
              <w:rPr>
                <w:rFonts w:hint="eastAsia" w:ascii="宋体" w:hAnsi="宋体" w:eastAsia="宋体" w:cs="宋体"/>
                <w:sz w:val="24"/>
              </w:rPr>
              <w:t>3</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kern w:val="2"/>
                <w:sz w:val="24"/>
                <w:szCs w:val="22"/>
                <w:lang w:val="en-US" w:eastAsia="zh-CN" w:bidi="ar-SA"/>
              </w:rPr>
            </w:pPr>
            <w:r>
              <w:rPr>
                <w:rFonts w:hint="eastAsia" w:ascii="宋体" w:hAnsi="宋体" w:eastAsia="宋体" w:cs="宋体"/>
                <w:sz w:val="24"/>
              </w:rPr>
              <w:t>有效期</w:t>
            </w:r>
          </w:p>
        </w:tc>
        <w:tc>
          <w:tcPr>
            <w:tcW w:w="696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hint="eastAsia" w:ascii="宋体" w:hAnsi="宋体" w:eastAsia="宋体" w:cs="宋体"/>
                <w:kern w:val="2"/>
                <w:sz w:val="24"/>
                <w:szCs w:val="22"/>
                <w:lang w:val="en-US" w:eastAsia="zh-CN" w:bidi="ar-SA"/>
              </w:rPr>
            </w:pPr>
            <w:r>
              <w:rPr>
                <w:rFonts w:hint="eastAsia" w:ascii="宋体" w:hAnsi="宋体" w:eastAsia="宋体" w:cs="宋体"/>
                <w:sz w:val="24"/>
              </w:rPr>
              <w:t>≥12个月</w:t>
            </w:r>
          </w:p>
        </w:tc>
      </w:tr>
      <w:tr>
        <w:tblPrEx>
          <w:tblLayout w:type="fixed"/>
          <w:tblCellMar>
            <w:top w:w="0" w:type="dxa"/>
            <w:left w:w="108" w:type="dxa"/>
            <w:bottom w:w="0" w:type="dxa"/>
            <w:right w:w="108" w:type="dxa"/>
          </w:tblCellMar>
        </w:tblPrEx>
        <w:trPr>
          <w:trHeight w:val="324"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kern w:val="2"/>
                <w:sz w:val="24"/>
                <w:szCs w:val="22"/>
                <w:lang w:val="en-US" w:eastAsia="zh-CN" w:bidi="ar-SA"/>
              </w:rPr>
            </w:pPr>
            <w:r>
              <w:rPr>
                <w:rFonts w:hint="eastAsia" w:ascii="宋体" w:hAnsi="宋体" w:eastAsia="宋体" w:cs="宋体"/>
                <w:sz w:val="24"/>
              </w:rPr>
              <w:t>4</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kern w:val="2"/>
                <w:sz w:val="24"/>
                <w:szCs w:val="22"/>
                <w:lang w:val="en-US" w:eastAsia="zh-CN" w:bidi="ar-SA"/>
              </w:rPr>
            </w:pPr>
            <w:r>
              <w:rPr>
                <w:rFonts w:hint="eastAsia" w:ascii="宋体" w:hAnsi="宋体" w:eastAsia="宋体" w:cs="宋体"/>
                <w:sz w:val="24"/>
              </w:rPr>
              <w:t>样本类型</w:t>
            </w:r>
          </w:p>
        </w:tc>
        <w:tc>
          <w:tcPr>
            <w:tcW w:w="696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hint="eastAsia" w:ascii="宋体" w:hAnsi="宋体" w:eastAsia="宋体" w:cs="宋体"/>
                <w:kern w:val="2"/>
                <w:sz w:val="24"/>
                <w:szCs w:val="22"/>
                <w:lang w:val="en-US" w:eastAsia="zh-CN" w:bidi="ar-SA"/>
              </w:rPr>
            </w:pPr>
            <w:r>
              <w:rPr>
                <w:rFonts w:hint="eastAsia" w:ascii="宋体" w:hAnsi="宋体" w:eastAsia="宋体" w:cs="宋体"/>
                <w:sz w:val="24"/>
              </w:rPr>
              <w:t>血浆（枸橼酸钠抗凝）</w:t>
            </w:r>
          </w:p>
        </w:tc>
      </w:tr>
      <w:tr>
        <w:tblPrEx>
          <w:tblLayout w:type="fixed"/>
          <w:tblCellMar>
            <w:top w:w="0" w:type="dxa"/>
            <w:left w:w="108" w:type="dxa"/>
            <w:bottom w:w="0" w:type="dxa"/>
            <w:right w:w="108" w:type="dxa"/>
          </w:tblCellMar>
        </w:tblPrEx>
        <w:trPr>
          <w:trHeight w:val="324"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kern w:val="2"/>
                <w:sz w:val="24"/>
                <w:szCs w:val="22"/>
                <w:lang w:val="en-US" w:eastAsia="zh-CN" w:bidi="ar-SA"/>
              </w:rPr>
            </w:pPr>
            <w:r>
              <w:rPr>
                <w:rFonts w:hint="eastAsia" w:ascii="宋体" w:hAnsi="宋体" w:eastAsia="宋体" w:cs="宋体"/>
                <w:sz w:val="24"/>
                <w:lang w:val="en-US" w:eastAsia="zh-CN"/>
              </w:rPr>
              <w:t>5</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kern w:val="2"/>
                <w:sz w:val="24"/>
                <w:szCs w:val="22"/>
                <w:lang w:val="en-US" w:eastAsia="zh-CN" w:bidi="ar-SA"/>
              </w:rPr>
            </w:pPr>
            <w:r>
              <w:rPr>
                <w:rFonts w:hint="eastAsia" w:ascii="宋体" w:hAnsi="宋体" w:eastAsia="宋体" w:cs="宋体"/>
                <w:sz w:val="24"/>
              </w:rPr>
              <w:t>线性范围</w:t>
            </w:r>
          </w:p>
        </w:tc>
        <w:tc>
          <w:tcPr>
            <w:tcW w:w="696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hint="eastAsia" w:ascii="宋体" w:hAnsi="宋体" w:eastAsia="宋体" w:cs="宋体"/>
                <w:kern w:val="2"/>
                <w:sz w:val="24"/>
                <w:szCs w:val="22"/>
                <w:lang w:val="en-US" w:eastAsia="zh-CN" w:bidi="ar-SA"/>
              </w:rPr>
            </w:pPr>
            <w:r>
              <w:rPr>
                <w:rFonts w:hint="eastAsia" w:ascii="宋体" w:hAnsi="宋体" w:eastAsia="宋体" w:cs="宋体"/>
                <w:sz w:val="24"/>
              </w:rPr>
              <w:t>5.90ng/mL~300.00ng/mL，相关系数r≥0.9900。</w:t>
            </w:r>
          </w:p>
        </w:tc>
      </w:tr>
      <w:tr>
        <w:tblPrEx>
          <w:tblLayout w:type="fixed"/>
          <w:tblCellMar>
            <w:top w:w="0" w:type="dxa"/>
            <w:left w:w="108" w:type="dxa"/>
            <w:bottom w:w="0" w:type="dxa"/>
            <w:right w:w="108" w:type="dxa"/>
          </w:tblCellMar>
        </w:tblPrEx>
        <w:trPr>
          <w:trHeight w:val="324"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kern w:val="2"/>
                <w:sz w:val="24"/>
                <w:szCs w:val="22"/>
                <w:lang w:val="en-US" w:eastAsia="zh-CN" w:bidi="ar-SA"/>
              </w:rPr>
            </w:pPr>
            <w:r>
              <w:rPr>
                <w:rFonts w:hint="eastAsia" w:ascii="宋体" w:hAnsi="宋体" w:eastAsia="宋体" w:cs="宋体"/>
                <w:sz w:val="24"/>
                <w:lang w:val="en-US" w:eastAsia="zh-CN"/>
              </w:rPr>
              <w:t>6</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kern w:val="2"/>
                <w:sz w:val="24"/>
                <w:szCs w:val="22"/>
                <w:lang w:val="en-US" w:eastAsia="zh-CN" w:bidi="ar-SA"/>
              </w:rPr>
            </w:pPr>
            <w:r>
              <w:rPr>
                <w:rFonts w:hint="eastAsia" w:ascii="宋体" w:hAnsi="宋体" w:eastAsia="宋体" w:cs="宋体"/>
                <w:sz w:val="24"/>
              </w:rPr>
              <w:t>重复性</w:t>
            </w:r>
          </w:p>
        </w:tc>
        <w:tc>
          <w:tcPr>
            <w:tcW w:w="696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hint="eastAsia" w:ascii="宋体" w:hAnsi="宋体" w:eastAsia="宋体" w:cs="宋体"/>
                <w:kern w:val="2"/>
                <w:sz w:val="24"/>
                <w:szCs w:val="22"/>
                <w:lang w:val="en-US" w:eastAsia="zh-CN" w:bidi="ar-SA"/>
              </w:rPr>
            </w:pPr>
            <w:r>
              <w:rPr>
                <w:rFonts w:hint="eastAsia" w:ascii="宋体" w:hAnsi="宋体" w:eastAsia="宋体" w:cs="宋体"/>
                <w:sz w:val="24"/>
              </w:rPr>
              <w:t>CV≤10.0%。</w:t>
            </w:r>
          </w:p>
        </w:tc>
      </w:tr>
      <w:tr>
        <w:tblPrEx>
          <w:tblLayout w:type="fixed"/>
          <w:tblCellMar>
            <w:top w:w="0" w:type="dxa"/>
            <w:left w:w="108" w:type="dxa"/>
            <w:bottom w:w="0" w:type="dxa"/>
            <w:right w:w="108" w:type="dxa"/>
          </w:tblCellMar>
        </w:tblPrEx>
        <w:trPr>
          <w:trHeight w:val="324"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kern w:val="2"/>
                <w:sz w:val="24"/>
                <w:szCs w:val="22"/>
                <w:lang w:val="en-US" w:eastAsia="zh-CN" w:bidi="ar-SA"/>
              </w:rPr>
            </w:pPr>
            <w:r>
              <w:rPr>
                <w:rFonts w:hint="eastAsia" w:ascii="宋体" w:hAnsi="宋体" w:eastAsia="宋体" w:cs="宋体"/>
                <w:sz w:val="24"/>
                <w:lang w:val="en-US" w:eastAsia="zh-CN"/>
              </w:rPr>
              <w:t>7</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kern w:val="2"/>
                <w:sz w:val="24"/>
                <w:szCs w:val="22"/>
                <w:lang w:val="en-US" w:eastAsia="zh-CN" w:bidi="ar-SA"/>
              </w:rPr>
            </w:pPr>
            <w:r>
              <w:rPr>
                <w:rFonts w:hint="eastAsia" w:ascii="宋体" w:hAnsi="宋体" w:eastAsia="宋体" w:cs="宋体"/>
                <w:sz w:val="24"/>
              </w:rPr>
              <w:t>批间差</w:t>
            </w:r>
          </w:p>
        </w:tc>
        <w:tc>
          <w:tcPr>
            <w:tcW w:w="696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hint="eastAsia" w:ascii="宋体" w:hAnsi="宋体" w:eastAsia="宋体" w:cs="宋体"/>
                <w:kern w:val="2"/>
                <w:sz w:val="24"/>
                <w:szCs w:val="22"/>
                <w:lang w:val="en-US" w:eastAsia="zh-CN" w:bidi="ar-SA"/>
              </w:rPr>
            </w:pPr>
            <w:r>
              <w:rPr>
                <w:rFonts w:hint="eastAsia" w:ascii="宋体" w:hAnsi="宋体" w:eastAsia="宋体" w:cs="宋体"/>
                <w:sz w:val="24"/>
              </w:rPr>
              <w:t>CV≤15.0%。</w:t>
            </w:r>
          </w:p>
        </w:tc>
      </w:tr>
      <w:tr>
        <w:tblPrEx>
          <w:tblLayout w:type="fixed"/>
          <w:tblCellMar>
            <w:top w:w="0" w:type="dxa"/>
            <w:left w:w="108" w:type="dxa"/>
            <w:bottom w:w="0" w:type="dxa"/>
            <w:right w:w="108" w:type="dxa"/>
          </w:tblCellMar>
        </w:tblPrEx>
        <w:trPr>
          <w:trHeight w:val="324"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kern w:val="2"/>
                <w:sz w:val="24"/>
                <w:szCs w:val="22"/>
                <w:lang w:val="en-US" w:eastAsia="zh-CN" w:bidi="ar-SA"/>
              </w:rPr>
            </w:pPr>
            <w:r>
              <w:rPr>
                <w:rFonts w:hint="eastAsia" w:ascii="宋体" w:hAnsi="宋体" w:eastAsia="宋体" w:cs="宋体"/>
                <w:sz w:val="24"/>
                <w:lang w:val="en-US" w:eastAsia="zh-CN"/>
              </w:rPr>
              <w:t>8</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kern w:val="2"/>
                <w:sz w:val="24"/>
                <w:szCs w:val="22"/>
                <w:lang w:val="en-US" w:eastAsia="zh-CN" w:bidi="ar-SA"/>
              </w:rPr>
            </w:pPr>
            <w:r>
              <w:rPr>
                <w:rFonts w:hint="eastAsia" w:ascii="宋体" w:hAnsi="宋体" w:eastAsia="宋体" w:cs="宋体"/>
                <w:sz w:val="24"/>
              </w:rPr>
              <w:t>抗干扰能力</w:t>
            </w:r>
          </w:p>
        </w:tc>
        <w:tc>
          <w:tcPr>
            <w:tcW w:w="696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hint="eastAsia" w:ascii="宋体" w:hAnsi="宋体" w:eastAsia="宋体" w:cs="宋体"/>
                <w:kern w:val="2"/>
                <w:sz w:val="24"/>
                <w:szCs w:val="22"/>
                <w:lang w:val="en-US" w:eastAsia="zh-CN" w:bidi="ar-SA"/>
              </w:rPr>
            </w:pPr>
            <w:r>
              <w:rPr>
                <w:rFonts w:hint="eastAsia" w:ascii="宋体" w:hAnsi="宋体" w:eastAsia="宋体" w:cs="宋体"/>
                <w:sz w:val="24"/>
              </w:rPr>
              <w:t>血浆中潜在干扰物质血红蛋白＜4.0mg/mL、甘油三酯＜8.5 mg/mL（26.94mmol/L）、胆红素＜0.2 mg/mL（34.2μmol/L）对检测结果没有明显影响。</w:t>
            </w:r>
          </w:p>
        </w:tc>
      </w:tr>
      <w:tr>
        <w:tblPrEx>
          <w:tblLayout w:type="fixed"/>
          <w:tblCellMar>
            <w:top w:w="0" w:type="dxa"/>
            <w:left w:w="108" w:type="dxa"/>
            <w:bottom w:w="0" w:type="dxa"/>
            <w:right w:w="108" w:type="dxa"/>
          </w:tblCellMar>
        </w:tblPrEx>
        <w:trPr>
          <w:trHeight w:val="324"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kern w:val="2"/>
                <w:sz w:val="24"/>
                <w:szCs w:val="22"/>
                <w:lang w:val="en-US" w:eastAsia="zh-CN" w:bidi="ar-SA"/>
              </w:rPr>
            </w:pPr>
            <w:r>
              <w:rPr>
                <w:rFonts w:hint="eastAsia" w:ascii="宋体" w:hAnsi="宋体" w:eastAsia="宋体" w:cs="宋体"/>
                <w:sz w:val="24"/>
                <w:lang w:val="en-US" w:eastAsia="zh-CN"/>
              </w:rPr>
              <w:t>9</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kern w:val="2"/>
                <w:sz w:val="24"/>
                <w:szCs w:val="22"/>
                <w:lang w:val="en-US" w:eastAsia="zh-CN" w:bidi="ar-SA"/>
              </w:rPr>
            </w:pPr>
            <w:r>
              <w:rPr>
                <w:rFonts w:hint="eastAsia" w:ascii="宋体" w:hAnsi="宋体" w:eastAsia="宋体" w:cs="宋体"/>
                <w:sz w:val="24"/>
              </w:rPr>
              <w:t>运输条件</w:t>
            </w:r>
          </w:p>
        </w:tc>
        <w:tc>
          <w:tcPr>
            <w:tcW w:w="696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hint="eastAsia" w:ascii="宋体" w:hAnsi="宋体" w:eastAsia="宋体" w:cs="宋体"/>
                <w:kern w:val="2"/>
                <w:sz w:val="24"/>
                <w:szCs w:val="22"/>
                <w:lang w:val="en-US" w:eastAsia="zh-CN" w:bidi="ar-SA"/>
              </w:rPr>
            </w:pPr>
            <w:r>
              <w:rPr>
                <w:rFonts w:hint="eastAsia" w:ascii="宋体" w:hAnsi="宋体" w:eastAsia="宋体" w:cs="宋体"/>
                <w:sz w:val="24"/>
              </w:rPr>
              <w:t>要求具有冷链运输。</w:t>
            </w:r>
          </w:p>
        </w:tc>
      </w:tr>
      <w:tr>
        <w:tblPrEx>
          <w:tblLayout w:type="fixed"/>
          <w:tblCellMar>
            <w:top w:w="0" w:type="dxa"/>
            <w:left w:w="108" w:type="dxa"/>
            <w:bottom w:w="0" w:type="dxa"/>
            <w:right w:w="108" w:type="dxa"/>
          </w:tblCellMar>
        </w:tblPrEx>
        <w:trPr>
          <w:trHeight w:val="324"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三、</w:t>
            </w:r>
          </w:p>
        </w:tc>
        <w:tc>
          <w:tcPr>
            <w:tcW w:w="84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结核分歧杆菌特异性细胞免疫反应检测试剂盒</w:t>
            </w:r>
          </w:p>
        </w:tc>
      </w:tr>
      <w:tr>
        <w:tblPrEx>
          <w:tblLayout w:type="fixed"/>
          <w:tblCellMar>
            <w:top w:w="0" w:type="dxa"/>
            <w:left w:w="108" w:type="dxa"/>
            <w:bottom w:w="0" w:type="dxa"/>
            <w:right w:w="108" w:type="dxa"/>
          </w:tblCellMar>
        </w:tblPrEx>
        <w:trPr>
          <w:trHeight w:val="324"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kern w:val="2"/>
                <w:sz w:val="24"/>
                <w:szCs w:val="22"/>
                <w:lang w:val="en-US" w:eastAsia="zh-CN" w:bidi="ar-SA"/>
              </w:rPr>
            </w:pPr>
            <w:r>
              <w:rPr>
                <w:rFonts w:hint="eastAsia" w:ascii="宋体" w:hAnsi="宋体" w:eastAsia="宋体" w:cs="宋体"/>
                <w:sz w:val="24"/>
              </w:rPr>
              <w:t>序号</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kern w:val="2"/>
                <w:sz w:val="24"/>
                <w:szCs w:val="22"/>
                <w:lang w:val="en-US" w:eastAsia="zh-CN" w:bidi="ar-SA"/>
              </w:rPr>
            </w:pPr>
            <w:r>
              <w:rPr>
                <w:rFonts w:hint="eastAsia" w:ascii="宋体" w:hAnsi="宋体" w:eastAsia="宋体" w:cs="宋体"/>
                <w:sz w:val="24"/>
              </w:rPr>
              <w:t>名称</w:t>
            </w:r>
          </w:p>
        </w:tc>
        <w:tc>
          <w:tcPr>
            <w:tcW w:w="696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kern w:val="2"/>
                <w:sz w:val="24"/>
                <w:szCs w:val="22"/>
                <w:lang w:val="en-US" w:eastAsia="zh-CN" w:bidi="ar-SA"/>
              </w:rPr>
            </w:pPr>
            <w:r>
              <w:rPr>
                <w:rFonts w:hint="eastAsia" w:ascii="宋体" w:hAnsi="宋体" w:eastAsia="宋体" w:cs="宋体"/>
                <w:sz w:val="24"/>
              </w:rPr>
              <w:t>技术规格</w:t>
            </w:r>
          </w:p>
        </w:tc>
      </w:tr>
      <w:tr>
        <w:tblPrEx>
          <w:tblLayout w:type="fixed"/>
          <w:tblCellMar>
            <w:top w:w="0" w:type="dxa"/>
            <w:left w:w="108" w:type="dxa"/>
            <w:bottom w:w="0" w:type="dxa"/>
            <w:right w:w="108" w:type="dxa"/>
          </w:tblCellMar>
        </w:tblPrEx>
        <w:trPr>
          <w:trHeight w:val="324"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kern w:val="2"/>
                <w:sz w:val="24"/>
                <w:szCs w:val="22"/>
                <w:lang w:val="en-US" w:eastAsia="zh-CN" w:bidi="ar-SA"/>
              </w:rPr>
            </w:pPr>
            <w:r>
              <w:rPr>
                <w:rFonts w:hint="eastAsia" w:ascii="宋体" w:hAnsi="宋体" w:eastAsia="宋体" w:cs="宋体"/>
                <w:sz w:val="24"/>
              </w:rPr>
              <w:t>1</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kern w:val="2"/>
                <w:sz w:val="24"/>
                <w:szCs w:val="22"/>
                <w:lang w:val="en-US" w:eastAsia="zh-CN" w:bidi="ar-SA"/>
              </w:rPr>
            </w:pPr>
            <w:r>
              <w:rPr>
                <w:rFonts w:hint="eastAsia" w:ascii="宋体" w:hAnsi="宋体" w:eastAsia="宋体" w:cs="宋体"/>
                <w:sz w:val="24"/>
              </w:rPr>
              <w:t>设用途</w:t>
            </w:r>
          </w:p>
        </w:tc>
        <w:tc>
          <w:tcPr>
            <w:tcW w:w="696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hint="eastAsia" w:ascii="宋体" w:hAnsi="宋体" w:eastAsia="宋体" w:cs="宋体"/>
                <w:kern w:val="2"/>
                <w:sz w:val="24"/>
                <w:szCs w:val="22"/>
                <w:lang w:val="en-US" w:eastAsia="zh-CN" w:bidi="ar-SA"/>
              </w:rPr>
            </w:pPr>
            <w:r>
              <w:rPr>
                <w:rFonts w:hint="eastAsia" w:ascii="宋体" w:hAnsi="宋体" w:eastAsia="宋体" w:cs="宋体"/>
                <w:sz w:val="24"/>
              </w:rPr>
              <w:t>体外定量检测人血浆中的肝素结合蛋白（HBP）的浓度，HBP血浆浓度升高与重度脓毒症和脓毒性休克的严重程度相关。</w:t>
            </w:r>
          </w:p>
        </w:tc>
      </w:tr>
      <w:tr>
        <w:tblPrEx>
          <w:tblLayout w:type="fixed"/>
          <w:tblCellMar>
            <w:top w:w="0" w:type="dxa"/>
            <w:left w:w="108" w:type="dxa"/>
            <w:bottom w:w="0" w:type="dxa"/>
            <w:right w:w="108" w:type="dxa"/>
          </w:tblCellMar>
        </w:tblPrEx>
        <w:trPr>
          <w:trHeight w:val="324"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kern w:val="2"/>
                <w:sz w:val="24"/>
                <w:szCs w:val="22"/>
                <w:lang w:val="en-US" w:eastAsia="zh-CN" w:bidi="ar-SA"/>
              </w:rPr>
            </w:pPr>
            <w:r>
              <w:rPr>
                <w:rFonts w:hint="eastAsia" w:ascii="宋体" w:hAnsi="宋体" w:eastAsia="宋体" w:cs="宋体"/>
                <w:sz w:val="24"/>
              </w:rPr>
              <w:t>3</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kern w:val="2"/>
                <w:sz w:val="24"/>
                <w:szCs w:val="22"/>
                <w:lang w:val="en-US" w:eastAsia="zh-CN" w:bidi="ar-SA"/>
              </w:rPr>
            </w:pPr>
            <w:r>
              <w:rPr>
                <w:rFonts w:hint="eastAsia" w:ascii="宋体" w:hAnsi="宋体" w:eastAsia="宋体" w:cs="宋体"/>
                <w:sz w:val="24"/>
              </w:rPr>
              <w:t>有效期</w:t>
            </w:r>
          </w:p>
        </w:tc>
        <w:tc>
          <w:tcPr>
            <w:tcW w:w="696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hint="eastAsia" w:ascii="宋体" w:hAnsi="宋体" w:eastAsia="宋体" w:cs="宋体"/>
                <w:kern w:val="2"/>
                <w:sz w:val="24"/>
                <w:szCs w:val="22"/>
                <w:lang w:val="en-US" w:eastAsia="zh-CN" w:bidi="ar-SA"/>
              </w:rPr>
            </w:pPr>
            <w:r>
              <w:rPr>
                <w:rFonts w:hint="eastAsia" w:ascii="宋体" w:hAnsi="宋体" w:eastAsia="宋体" w:cs="宋体"/>
                <w:sz w:val="24"/>
              </w:rPr>
              <w:t>≥12个月</w:t>
            </w:r>
          </w:p>
        </w:tc>
      </w:tr>
      <w:tr>
        <w:tblPrEx>
          <w:tblLayout w:type="fixed"/>
          <w:tblCellMar>
            <w:top w:w="0" w:type="dxa"/>
            <w:left w:w="108" w:type="dxa"/>
            <w:bottom w:w="0" w:type="dxa"/>
            <w:right w:w="108" w:type="dxa"/>
          </w:tblCellMar>
        </w:tblPrEx>
        <w:trPr>
          <w:trHeight w:val="324"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kern w:val="2"/>
                <w:sz w:val="24"/>
                <w:szCs w:val="22"/>
                <w:lang w:val="en-US" w:eastAsia="zh-CN" w:bidi="ar-SA"/>
              </w:rPr>
            </w:pPr>
            <w:r>
              <w:rPr>
                <w:rFonts w:hint="eastAsia" w:ascii="宋体" w:hAnsi="宋体" w:eastAsia="宋体" w:cs="宋体"/>
                <w:sz w:val="24"/>
              </w:rPr>
              <w:t>4</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kern w:val="2"/>
                <w:sz w:val="24"/>
                <w:szCs w:val="22"/>
                <w:lang w:val="en-US" w:eastAsia="zh-CN" w:bidi="ar-SA"/>
              </w:rPr>
            </w:pPr>
            <w:r>
              <w:rPr>
                <w:rFonts w:hint="eastAsia" w:ascii="宋体" w:hAnsi="宋体" w:eastAsia="宋体" w:cs="宋体"/>
                <w:sz w:val="24"/>
              </w:rPr>
              <w:t>样本类型</w:t>
            </w:r>
          </w:p>
        </w:tc>
        <w:tc>
          <w:tcPr>
            <w:tcW w:w="696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hint="eastAsia" w:ascii="宋体" w:hAnsi="宋体" w:eastAsia="宋体" w:cs="宋体"/>
                <w:kern w:val="2"/>
                <w:sz w:val="24"/>
                <w:szCs w:val="22"/>
                <w:lang w:val="en-US" w:eastAsia="zh-CN" w:bidi="ar-SA"/>
              </w:rPr>
            </w:pPr>
            <w:r>
              <w:rPr>
                <w:rFonts w:hint="eastAsia" w:ascii="宋体" w:hAnsi="宋体" w:eastAsia="宋体" w:cs="宋体"/>
                <w:sz w:val="24"/>
              </w:rPr>
              <w:t>血浆（枸橼酸钠抗凝）</w:t>
            </w:r>
          </w:p>
        </w:tc>
      </w:tr>
      <w:tr>
        <w:tblPrEx>
          <w:tblLayout w:type="fixed"/>
          <w:tblCellMar>
            <w:top w:w="0" w:type="dxa"/>
            <w:left w:w="108" w:type="dxa"/>
            <w:bottom w:w="0" w:type="dxa"/>
            <w:right w:w="108" w:type="dxa"/>
          </w:tblCellMar>
        </w:tblPrEx>
        <w:trPr>
          <w:trHeight w:val="324"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kern w:val="2"/>
                <w:sz w:val="24"/>
                <w:szCs w:val="22"/>
                <w:lang w:val="en-US" w:eastAsia="zh-CN" w:bidi="ar-SA"/>
              </w:rPr>
            </w:pPr>
            <w:r>
              <w:rPr>
                <w:rFonts w:hint="eastAsia" w:ascii="宋体" w:hAnsi="宋体" w:eastAsia="宋体" w:cs="宋体"/>
                <w:sz w:val="24"/>
                <w:lang w:val="en-US" w:eastAsia="zh-CN"/>
              </w:rPr>
              <w:t>5</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kern w:val="2"/>
                <w:sz w:val="24"/>
                <w:szCs w:val="22"/>
                <w:lang w:val="en-US" w:eastAsia="zh-CN" w:bidi="ar-SA"/>
              </w:rPr>
            </w:pPr>
            <w:r>
              <w:rPr>
                <w:rFonts w:hint="eastAsia" w:ascii="宋体" w:hAnsi="宋体" w:eastAsia="宋体" w:cs="宋体"/>
                <w:sz w:val="24"/>
              </w:rPr>
              <w:t>线性范围</w:t>
            </w:r>
          </w:p>
        </w:tc>
        <w:tc>
          <w:tcPr>
            <w:tcW w:w="696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hint="eastAsia" w:ascii="宋体" w:hAnsi="宋体" w:eastAsia="宋体" w:cs="宋体"/>
                <w:kern w:val="2"/>
                <w:sz w:val="24"/>
                <w:szCs w:val="22"/>
                <w:lang w:val="en-US" w:eastAsia="zh-CN" w:bidi="ar-SA"/>
              </w:rPr>
            </w:pPr>
            <w:r>
              <w:rPr>
                <w:rFonts w:hint="eastAsia" w:ascii="宋体" w:hAnsi="宋体" w:eastAsia="宋体" w:cs="宋体"/>
                <w:sz w:val="24"/>
              </w:rPr>
              <w:t>5.90ng/mL~300.00ng/mL，相关系数r≥0.9900。</w:t>
            </w:r>
          </w:p>
        </w:tc>
      </w:tr>
      <w:tr>
        <w:tblPrEx>
          <w:tblLayout w:type="fixed"/>
          <w:tblCellMar>
            <w:top w:w="0" w:type="dxa"/>
            <w:left w:w="108" w:type="dxa"/>
            <w:bottom w:w="0" w:type="dxa"/>
            <w:right w:w="108" w:type="dxa"/>
          </w:tblCellMar>
        </w:tblPrEx>
        <w:trPr>
          <w:trHeight w:val="324"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kern w:val="2"/>
                <w:sz w:val="24"/>
                <w:szCs w:val="22"/>
                <w:lang w:val="en-US" w:eastAsia="zh-CN" w:bidi="ar-SA"/>
              </w:rPr>
            </w:pPr>
            <w:r>
              <w:rPr>
                <w:rFonts w:hint="eastAsia" w:ascii="宋体" w:hAnsi="宋体" w:eastAsia="宋体" w:cs="宋体"/>
                <w:sz w:val="24"/>
                <w:lang w:val="en-US" w:eastAsia="zh-CN"/>
              </w:rPr>
              <w:t>6</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kern w:val="2"/>
                <w:sz w:val="24"/>
                <w:szCs w:val="22"/>
                <w:lang w:val="en-US" w:eastAsia="zh-CN" w:bidi="ar-SA"/>
              </w:rPr>
            </w:pPr>
            <w:r>
              <w:rPr>
                <w:rFonts w:hint="eastAsia" w:ascii="宋体" w:hAnsi="宋体" w:eastAsia="宋体" w:cs="宋体"/>
                <w:sz w:val="24"/>
              </w:rPr>
              <w:t>重复性</w:t>
            </w:r>
          </w:p>
        </w:tc>
        <w:tc>
          <w:tcPr>
            <w:tcW w:w="696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hint="eastAsia" w:ascii="宋体" w:hAnsi="宋体" w:eastAsia="宋体" w:cs="宋体"/>
                <w:kern w:val="2"/>
                <w:sz w:val="24"/>
                <w:szCs w:val="22"/>
                <w:lang w:val="en-US" w:eastAsia="zh-CN" w:bidi="ar-SA"/>
              </w:rPr>
            </w:pPr>
            <w:r>
              <w:rPr>
                <w:rFonts w:hint="eastAsia" w:ascii="宋体" w:hAnsi="宋体" w:eastAsia="宋体" w:cs="宋体"/>
                <w:sz w:val="24"/>
              </w:rPr>
              <w:t>CV≤10.0%。</w:t>
            </w:r>
          </w:p>
        </w:tc>
      </w:tr>
      <w:tr>
        <w:tblPrEx>
          <w:tblLayout w:type="fixed"/>
          <w:tblCellMar>
            <w:top w:w="0" w:type="dxa"/>
            <w:left w:w="108" w:type="dxa"/>
            <w:bottom w:w="0" w:type="dxa"/>
            <w:right w:w="108" w:type="dxa"/>
          </w:tblCellMar>
        </w:tblPrEx>
        <w:trPr>
          <w:trHeight w:val="324"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kern w:val="2"/>
                <w:sz w:val="24"/>
                <w:szCs w:val="22"/>
                <w:lang w:val="en-US" w:eastAsia="zh-CN" w:bidi="ar-SA"/>
              </w:rPr>
            </w:pPr>
            <w:r>
              <w:rPr>
                <w:rFonts w:hint="eastAsia" w:ascii="宋体" w:hAnsi="宋体" w:eastAsia="宋体" w:cs="宋体"/>
                <w:sz w:val="24"/>
                <w:lang w:val="en-US" w:eastAsia="zh-CN"/>
              </w:rPr>
              <w:t>7</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kern w:val="2"/>
                <w:sz w:val="24"/>
                <w:szCs w:val="22"/>
                <w:lang w:val="en-US" w:eastAsia="zh-CN" w:bidi="ar-SA"/>
              </w:rPr>
            </w:pPr>
            <w:r>
              <w:rPr>
                <w:rFonts w:hint="eastAsia" w:ascii="宋体" w:hAnsi="宋体" w:eastAsia="宋体" w:cs="宋体"/>
                <w:sz w:val="24"/>
              </w:rPr>
              <w:t>批间差</w:t>
            </w:r>
          </w:p>
        </w:tc>
        <w:tc>
          <w:tcPr>
            <w:tcW w:w="696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hint="eastAsia" w:ascii="宋体" w:hAnsi="宋体" w:eastAsia="宋体" w:cs="宋体"/>
                <w:kern w:val="2"/>
                <w:sz w:val="24"/>
                <w:szCs w:val="22"/>
                <w:lang w:val="en-US" w:eastAsia="zh-CN" w:bidi="ar-SA"/>
              </w:rPr>
            </w:pPr>
            <w:r>
              <w:rPr>
                <w:rFonts w:hint="eastAsia" w:ascii="宋体" w:hAnsi="宋体" w:eastAsia="宋体" w:cs="宋体"/>
                <w:sz w:val="24"/>
              </w:rPr>
              <w:t>CV≤15.0%。</w:t>
            </w:r>
          </w:p>
        </w:tc>
      </w:tr>
      <w:tr>
        <w:tblPrEx>
          <w:tblLayout w:type="fixed"/>
          <w:tblCellMar>
            <w:top w:w="0" w:type="dxa"/>
            <w:left w:w="108" w:type="dxa"/>
            <w:bottom w:w="0" w:type="dxa"/>
            <w:right w:w="108" w:type="dxa"/>
          </w:tblCellMar>
        </w:tblPrEx>
        <w:trPr>
          <w:trHeight w:val="324"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kern w:val="2"/>
                <w:sz w:val="24"/>
                <w:szCs w:val="22"/>
                <w:lang w:val="en-US" w:eastAsia="zh-CN" w:bidi="ar-SA"/>
              </w:rPr>
            </w:pPr>
            <w:r>
              <w:rPr>
                <w:rFonts w:hint="eastAsia" w:ascii="宋体" w:hAnsi="宋体" w:eastAsia="宋体" w:cs="宋体"/>
                <w:sz w:val="24"/>
                <w:lang w:val="en-US" w:eastAsia="zh-CN"/>
              </w:rPr>
              <w:t>8</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kern w:val="2"/>
                <w:sz w:val="24"/>
                <w:szCs w:val="22"/>
                <w:lang w:val="en-US" w:eastAsia="zh-CN" w:bidi="ar-SA"/>
              </w:rPr>
            </w:pPr>
            <w:r>
              <w:rPr>
                <w:rFonts w:hint="eastAsia" w:ascii="宋体" w:hAnsi="宋体" w:eastAsia="宋体" w:cs="宋体"/>
                <w:sz w:val="24"/>
              </w:rPr>
              <w:t>抗干扰能力</w:t>
            </w:r>
          </w:p>
        </w:tc>
        <w:tc>
          <w:tcPr>
            <w:tcW w:w="696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hint="eastAsia" w:ascii="宋体" w:hAnsi="宋体" w:eastAsia="宋体" w:cs="宋体"/>
                <w:kern w:val="2"/>
                <w:sz w:val="24"/>
                <w:szCs w:val="22"/>
                <w:lang w:val="en-US" w:eastAsia="zh-CN" w:bidi="ar-SA"/>
              </w:rPr>
            </w:pPr>
            <w:r>
              <w:rPr>
                <w:rFonts w:hint="eastAsia" w:ascii="宋体" w:hAnsi="宋体" w:eastAsia="宋体" w:cs="宋体"/>
                <w:sz w:val="24"/>
              </w:rPr>
              <w:t>血浆中潜在干扰物质血红蛋白＜4.0mg/mL、甘油三酯＜8.5 mg/mL（26.94mmol/L）、胆红素＜0.2 mg/mL（34.2μmol/L）对检测结果没有明显影响。</w:t>
            </w:r>
          </w:p>
        </w:tc>
      </w:tr>
      <w:tr>
        <w:tblPrEx>
          <w:tblLayout w:type="fixed"/>
          <w:tblCellMar>
            <w:top w:w="0" w:type="dxa"/>
            <w:left w:w="108" w:type="dxa"/>
            <w:bottom w:w="0" w:type="dxa"/>
            <w:right w:w="108" w:type="dxa"/>
          </w:tblCellMar>
        </w:tblPrEx>
        <w:trPr>
          <w:trHeight w:val="324"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kern w:val="2"/>
                <w:sz w:val="24"/>
                <w:szCs w:val="22"/>
                <w:lang w:val="en-US" w:eastAsia="zh-CN" w:bidi="ar-SA"/>
              </w:rPr>
            </w:pPr>
            <w:r>
              <w:rPr>
                <w:rFonts w:hint="eastAsia" w:ascii="宋体" w:hAnsi="宋体" w:eastAsia="宋体" w:cs="宋体"/>
                <w:sz w:val="24"/>
                <w:lang w:val="en-US" w:eastAsia="zh-CN"/>
              </w:rPr>
              <w:t>9</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kern w:val="2"/>
                <w:sz w:val="24"/>
                <w:szCs w:val="22"/>
                <w:lang w:val="en-US" w:eastAsia="zh-CN" w:bidi="ar-SA"/>
              </w:rPr>
            </w:pPr>
            <w:r>
              <w:rPr>
                <w:rFonts w:hint="eastAsia" w:ascii="宋体" w:hAnsi="宋体" w:eastAsia="宋体" w:cs="宋体"/>
                <w:sz w:val="24"/>
              </w:rPr>
              <w:t>运输条件</w:t>
            </w:r>
          </w:p>
        </w:tc>
        <w:tc>
          <w:tcPr>
            <w:tcW w:w="696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hint="eastAsia" w:ascii="宋体" w:hAnsi="宋体" w:eastAsia="宋体" w:cs="宋体"/>
                <w:kern w:val="2"/>
                <w:sz w:val="24"/>
                <w:szCs w:val="22"/>
                <w:lang w:val="en-US" w:eastAsia="zh-CN" w:bidi="ar-SA"/>
              </w:rPr>
            </w:pPr>
            <w:r>
              <w:rPr>
                <w:rFonts w:hint="eastAsia" w:ascii="宋体" w:hAnsi="宋体" w:eastAsia="宋体" w:cs="宋体"/>
                <w:sz w:val="24"/>
              </w:rPr>
              <w:t>要求具有冷链运输。</w:t>
            </w:r>
          </w:p>
        </w:tc>
      </w:tr>
    </w:tbl>
    <w:p>
      <w:pPr>
        <w:numPr>
          <w:ilvl w:val="0"/>
          <w:numId w:val="0"/>
        </w:numPr>
        <w:spacing w:line="360" w:lineRule="auto"/>
        <w:rPr>
          <w:rFonts w:hint="default" w:ascii="宋体" w:hAnsi="宋体" w:eastAsia="宋体" w:cs="宋体"/>
          <w:sz w:val="24"/>
          <w:szCs w:val="24"/>
          <w:lang w:val="en-US" w:eastAsia="zh-CN"/>
        </w:rPr>
      </w:pP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pStyle w:val="56"/>
        <w:numPr>
          <w:ilvl w:val="0"/>
          <w:numId w:val="0"/>
        </w:numPr>
        <w:spacing w:line="360" w:lineRule="auto"/>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包件七：</w:t>
      </w:r>
    </w:p>
    <w:p>
      <w:pPr>
        <w:pStyle w:val="56"/>
        <w:numPr>
          <w:ilvl w:val="0"/>
          <w:numId w:val="1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宋体"/>
          <w:b w:val="0"/>
          <w:bCs w:val="0"/>
          <w:sz w:val="24"/>
          <w:szCs w:val="24"/>
          <w:lang w:val="en-US" w:eastAsia="zh-CN"/>
        </w:rPr>
        <w:t>：</w:t>
      </w:r>
      <w:r>
        <w:rPr>
          <w:rFonts w:hint="eastAsia" w:ascii="宋体" w:hAnsi="宋体" w:eastAsia="宋体"/>
          <w:b w:val="0"/>
          <w:bCs w:val="0"/>
          <w:sz w:val="24"/>
          <w:szCs w:val="24"/>
          <w:highlight w:val="none"/>
          <w:lang w:val="en-US" w:eastAsia="zh-CN"/>
        </w:rPr>
        <w:t>血糖试条</w:t>
      </w:r>
    </w:p>
    <w:p>
      <w:pPr>
        <w:pStyle w:val="56"/>
        <w:numPr>
          <w:ilvl w:val="0"/>
          <w:numId w:val="1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6"/>
        <w:numPr>
          <w:ilvl w:val="0"/>
          <w:numId w:val="1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6"/>
        <w:numPr>
          <w:ilvl w:val="0"/>
          <w:numId w:val="15"/>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6"/>
        <w:widowControl w:val="0"/>
        <w:numPr>
          <w:ilvl w:val="0"/>
          <w:numId w:val="15"/>
        </w:numPr>
        <w:spacing w:line="360" w:lineRule="auto"/>
        <w:ind w:left="-420" w:leftChars="0" w:firstLine="420" w:firstLineChars="0"/>
        <w:jc w:val="both"/>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技术指标要求</w:t>
      </w:r>
      <w:r>
        <w:rPr>
          <w:rFonts w:hint="eastAsia" w:ascii="宋体" w:hAnsi="宋体" w:eastAsia="宋体" w:cs="宋体"/>
          <w:b w:val="0"/>
          <w:bCs w:val="0"/>
          <w:sz w:val="21"/>
          <w:szCs w:val="21"/>
          <w:lang w:eastAsia="zh-CN"/>
        </w:rPr>
        <w:t>：</w:t>
      </w:r>
    </w:p>
    <w:p>
      <w:pPr>
        <w:pStyle w:val="18"/>
        <w:numPr>
          <w:ilvl w:val="0"/>
          <w:numId w:val="16"/>
        </w:numPr>
        <w:spacing w:line="360" w:lineRule="auto"/>
        <w:ind w:left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★投标人需响应医院SPD项目相关要求,并与上药医疗供应链管理(上海)有限公司签署相关SPD协议。</w:t>
      </w:r>
    </w:p>
    <w:p>
      <w:pPr>
        <w:pStyle w:val="18"/>
        <w:numPr>
          <w:ilvl w:val="0"/>
          <w:numId w:val="16"/>
        </w:numPr>
        <w:spacing w:line="360" w:lineRule="auto"/>
        <w:ind w:leftChars="0"/>
        <w:rPr>
          <w:rFonts w:hint="eastAsia" w:ascii="宋体" w:hAnsi="宋体" w:eastAsia="宋体" w:cs="宋体"/>
          <w:sz w:val="22"/>
          <w:szCs w:val="22"/>
        </w:rPr>
      </w:pPr>
      <w:r>
        <w:rPr>
          <w:rFonts w:hint="eastAsia" w:ascii="宋体" w:hAnsi="宋体" w:eastAsia="宋体" w:cs="宋体"/>
          <w:color w:val="000000"/>
          <w:sz w:val="22"/>
          <w:szCs w:val="22"/>
        </w:rPr>
        <w:t>检测范围:1.1</w:t>
      </w:r>
      <w:r>
        <w:rPr>
          <w:rFonts w:hint="eastAsia" w:ascii="宋体" w:hAnsi="宋体" w:eastAsia="宋体" w:cs="宋体"/>
          <w:color w:val="000000"/>
          <w:spacing w:val="-2"/>
          <w:sz w:val="22"/>
          <w:szCs w:val="22"/>
        </w:rPr>
        <w:t>m</w:t>
      </w:r>
      <w:r>
        <w:rPr>
          <w:rFonts w:hint="eastAsia" w:ascii="宋体" w:hAnsi="宋体" w:eastAsia="宋体" w:cs="宋体"/>
          <w:color w:val="000000"/>
          <w:sz w:val="22"/>
          <w:szCs w:val="22"/>
        </w:rPr>
        <w:t>m</w:t>
      </w:r>
      <w:r>
        <w:rPr>
          <w:rFonts w:hint="eastAsia" w:ascii="宋体" w:hAnsi="宋体" w:eastAsia="宋体" w:cs="宋体"/>
          <w:color w:val="000000"/>
          <w:spacing w:val="-2"/>
          <w:sz w:val="22"/>
          <w:szCs w:val="22"/>
        </w:rPr>
        <w:t>o</w:t>
      </w:r>
      <w:r>
        <w:rPr>
          <w:rFonts w:hint="eastAsia" w:ascii="宋体" w:hAnsi="宋体" w:eastAsia="宋体" w:cs="宋体"/>
          <w:color w:val="000000"/>
          <w:sz w:val="22"/>
          <w:szCs w:val="22"/>
        </w:rPr>
        <w:t>l</w:t>
      </w:r>
      <w:r>
        <w:rPr>
          <w:rFonts w:hint="eastAsia" w:ascii="宋体" w:hAnsi="宋体" w:eastAsia="宋体" w:cs="宋体"/>
          <w:color w:val="000000"/>
          <w:spacing w:val="-2"/>
          <w:sz w:val="22"/>
          <w:szCs w:val="22"/>
        </w:rPr>
        <w:t>/l</w:t>
      </w:r>
      <w:r>
        <w:rPr>
          <w:rFonts w:hint="eastAsia" w:ascii="宋体" w:hAnsi="宋体" w:eastAsia="宋体" w:cs="宋体"/>
          <w:color w:val="000000"/>
          <w:sz w:val="22"/>
          <w:szCs w:val="22"/>
        </w:rPr>
        <w:t>-33</w:t>
      </w:r>
      <w:r>
        <w:rPr>
          <w:rFonts w:hint="eastAsia" w:ascii="宋体" w:hAnsi="宋体" w:eastAsia="宋体" w:cs="宋体"/>
          <w:color w:val="000000"/>
          <w:spacing w:val="2"/>
          <w:sz w:val="22"/>
          <w:szCs w:val="22"/>
        </w:rPr>
        <w:t>.</w:t>
      </w:r>
      <w:r>
        <w:rPr>
          <w:rFonts w:hint="eastAsia" w:ascii="宋体" w:hAnsi="宋体" w:eastAsia="宋体" w:cs="宋体"/>
          <w:color w:val="000000"/>
          <w:sz w:val="22"/>
          <w:szCs w:val="22"/>
        </w:rPr>
        <w:t>3</w:t>
      </w:r>
      <w:r>
        <w:rPr>
          <w:rFonts w:hint="eastAsia" w:ascii="宋体" w:hAnsi="宋体" w:eastAsia="宋体" w:cs="宋体"/>
          <w:color w:val="000000"/>
          <w:spacing w:val="-2"/>
          <w:sz w:val="22"/>
          <w:szCs w:val="22"/>
        </w:rPr>
        <w:t>m</w:t>
      </w:r>
      <w:r>
        <w:rPr>
          <w:rFonts w:hint="eastAsia" w:ascii="宋体" w:hAnsi="宋体" w:eastAsia="宋体" w:cs="宋体"/>
          <w:color w:val="000000"/>
          <w:sz w:val="22"/>
          <w:szCs w:val="22"/>
        </w:rPr>
        <w:t>mol/</w:t>
      </w:r>
      <w:r>
        <w:rPr>
          <w:rFonts w:hint="eastAsia" w:ascii="宋体" w:hAnsi="宋体" w:eastAsia="宋体" w:cs="宋体"/>
          <w:color w:val="000000"/>
          <w:spacing w:val="-2"/>
          <w:sz w:val="22"/>
          <w:szCs w:val="22"/>
        </w:rPr>
        <w:t>l</w:t>
      </w:r>
    </w:p>
    <w:p>
      <w:pPr>
        <w:pStyle w:val="18"/>
        <w:numPr>
          <w:ilvl w:val="0"/>
          <w:numId w:val="16"/>
        </w:numPr>
        <w:spacing w:line="360" w:lineRule="auto"/>
        <w:ind w:leftChars="0"/>
        <w:rPr>
          <w:rFonts w:hint="eastAsia" w:ascii="宋体" w:hAnsi="宋体" w:eastAsia="宋体" w:cs="宋体"/>
          <w:sz w:val="22"/>
          <w:szCs w:val="22"/>
        </w:rPr>
      </w:pPr>
      <w:r>
        <w:rPr>
          <w:rFonts w:hint="eastAsia" w:ascii="宋体" w:hAnsi="宋体" w:eastAsia="宋体" w:cs="宋体"/>
          <w:color w:val="000000"/>
          <w:sz w:val="22"/>
          <w:szCs w:val="22"/>
        </w:rPr>
        <w:t>试纸检</w:t>
      </w:r>
      <w:r>
        <w:rPr>
          <w:rFonts w:hint="eastAsia" w:ascii="宋体" w:hAnsi="宋体" w:eastAsia="宋体" w:cs="宋体"/>
          <w:color w:val="000000"/>
          <w:spacing w:val="-2"/>
          <w:sz w:val="22"/>
          <w:szCs w:val="22"/>
        </w:rPr>
        <w:t>测</w:t>
      </w:r>
      <w:r>
        <w:rPr>
          <w:rFonts w:hint="eastAsia" w:ascii="宋体" w:hAnsi="宋体" w:eastAsia="宋体" w:cs="宋体"/>
          <w:color w:val="000000"/>
          <w:sz w:val="22"/>
          <w:szCs w:val="22"/>
        </w:rPr>
        <w:t>方法</w:t>
      </w:r>
      <w:r>
        <w:rPr>
          <w:rFonts w:hint="eastAsia" w:ascii="宋体" w:hAnsi="宋体" w:eastAsia="宋体" w:cs="宋体"/>
          <w:color w:val="000000"/>
          <w:spacing w:val="-4"/>
          <w:sz w:val="22"/>
          <w:szCs w:val="22"/>
        </w:rPr>
        <w:t>：</w:t>
      </w:r>
      <w:r>
        <w:rPr>
          <w:rFonts w:hint="eastAsia" w:ascii="宋体" w:hAnsi="宋体" w:eastAsia="宋体" w:cs="宋体"/>
          <w:color w:val="000000"/>
          <w:spacing w:val="-2"/>
          <w:sz w:val="22"/>
          <w:szCs w:val="22"/>
        </w:rPr>
        <w:t>葡</w:t>
      </w:r>
      <w:r>
        <w:rPr>
          <w:rFonts w:hint="eastAsia" w:ascii="宋体" w:hAnsi="宋体" w:eastAsia="宋体" w:cs="宋体"/>
          <w:color w:val="000000"/>
          <w:sz w:val="22"/>
          <w:szCs w:val="22"/>
        </w:rPr>
        <w:t>萄糖脱</w:t>
      </w:r>
      <w:r>
        <w:rPr>
          <w:rFonts w:hint="eastAsia" w:ascii="宋体" w:hAnsi="宋体" w:eastAsia="宋体" w:cs="宋体"/>
          <w:color w:val="000000"/>
          <w:spacing w:val="-2"/>
          <w:sz w:val="22"/>
          <w:szCs w:val="22"/>
        </w:rPr>
        <w:t>氢</w:t>
      </w:r>
      <w:r>
        <w:rPr>
          <w:rFonts w:hint="eastAsia" w:ascii="宋体" w:hAnsi="宋体" w:eastAsia="宋体" w:cs="宋体"/>
          <w:color w:val="000000"/>
          <w:sz w:val="22"/>
          <w:szCs w:val="22"/>
        </w:rPr>
        <w:t>酶</w:t>
      </w:r>
      <w:r>
        <w:rPr>
          <w:rFonts w:hint="eastAsia" w:ascii="宋体" w:hAnsi="宋体" w:eastAsia="宋体" w:cs="宋体"/>
          <w:color w:val="000000"/>
          <w:spacing w:val="-2"/>
          <w:sz w:val="22"/>
          <w:szCs w:val="22"/>
        </w:rPr>
        <w:t>法</w:t>
      </w:r>
      <w:r>
        <w:rPr>
          <w:rFonts w:hint="eastAsia" w:ascii="宋体" w:hAnsi="宋体" w:eastAsia="宋体" w:cs="宋体"/>
          <w:color w:val="000000"/>
          <w:spacing w:val="1"/>
          <w:sz w:val="22"/>
          <w:szCs w:val="22"/>
        </w:rPr>
        <w:t xml:space="preserve"> </w:t>
      </w:r>
    </w:p>
    <w:p>
      <w:pPr>
        <w:pStyle w:val="18"/>
        <w:numPr>
          <w:ilvl w:val="0"/>
          <w:numId w:val="16"/>
        </w:numPr>
        <w:spacing w:line="360" w:lineRule="auto"/>
        <w:ind w:leftChars="0"/>
        <w:rPr>
          <w:rFonts w:hint="eastAsia" w:ascii="宋体" w:hAnsi="宋体" w:eastAsia="宋体" w:cs="宋体"/>
          <w:sz w:val="22"/>
          <w:szCs w:val="22"/>
        </w:rPr>
      </w:pPr>
      <w:r>
        <w:rPr>
          <w:rFonts w:hint="eastAsia" w:ascii="宋体" w:hAnsi="宋体" w:eastAsia="宋体" w:cs="宋体"/>
          <w:color w:val="000000"/>
          <w:sz w:val="22"/>
          <w:szCs w:val="22"/>
        </w:rPr>
        <w:t>保质期</w:t>
      </w:r>
      <w:r>
        <w:rPr>
          <w:rFonts w:hint="eastAsia" w:ascii="宋体" w:hAnsi="宋体" w:eastAsia="宋体" w:cs="宋体"/>
          <w:color w:val="000000"/>
          <w:spacing w:val="-2"/>
          <w:sz w:val="22"/>
          <w:szCs w:val="22"/>
        </w:rPr>
        <w:t>：</w:t>
      </w:r>
      <w:r>
        <w:rPr>
          <w:rFonts w:hint="eastAsia" w:ascii="宋体" w:hAnsi="宋体" w:eastAsia="宋体" w:cs="宋体"/>
          <w:color w:val="000000"/>
          <w:sz w:val="22"/>
          <w:szCs w:val="22"/>
        </w:rPr>
        <w:t>未</w:t>
      </w:r>
      <w:r>
        <w:rPr>
          <w:rFonts w:hint="eastAsia" w:ascii="宋体" w:hAnsi="宋体" w:eastAsia="宋体" w:cs="宋体"/>
          <w:color w:val="000000"/>
          <w:sz w:val="22"/>
          <w:szCs w:val="22"/>
          <w:lang w:val="en-US" w:eastAsia="zh-CN"/>
        </w:rPr>
        <w:t>开封状态≥12个月</w:t>
      </w:r>
    </w:p>
    <w:p>
      <w:pPr>
        <w:pStyle w:val="18"/>
        <w:numPr>
          <w:ilvl w:val="0"/>
          <w:numId w:val="16"/>
        </w:numPr>
        <w:spacing w:line="360" w:lineRule="auto"/>
        <w:ind w:leftChars="0"/>
        <w:rPr>
          <w:rFonts w:hint="eastAsia" w:ascii="宋体" w:hAnsi="宋体" w:eastAsia="宋体" w:cs="宋体"/>
          <w:sz w:val="22"/>
          <w:szCs w:val="22"/>
        </w:rPr>
      </w:pPr>
      <w:r>
        <w:rPr>
          <w:rFonts w:hint="eastAsia" w:ascii="宋体" w:hAnsi="宋体" w:eastAsia="宋体" w:cs="宋体"/>
          <w:color w:val="000000"/>
          <w:sz w:val="22"/>
          <w:szCs w:val="22"/>
        </w:rPr>
        <w:t>储存条</w:t>
      </w:r>
      <w:r>
        <w:rPr>
          <w:rFonts w:hint="eastAsia" w:ascii="宋体" w:hAnsi="宋体" w:eastAsia="宋体" w:cs="宋体"/>
          <w:color w:val="000000"/>
          <w:spacing w:val="-2"/>
          <w:sz w:val="22"/>
          <w:szCs w:val="22"/>
        </w:rPr>
        <w:t>件</w:t>
      </w:r>
      <w:r>
        <w:rPr>
          <w:rFonts w:hint="eastAsia" w:ascii="宋体" w:hAnsi="宋体" w:eastAsia="宋体" w:cs="宋体"/>
          <w:color w:val="000000"/>
          <w:sz w:val="22"/>
          <w:szCs w:val="22"/>
        </w:rPr>
        <w:t>：相</w:t>
      </w:r>
      <w:r>
        <w:rPr>
          <w:rFonts w:hint="eastAsia" w:ascii="宋体" w:hAnsi="宋体" w:eastAsia="宋体" w:cs="宋体"/>
          <w:color w:val="000000"/>
          <w:spacing w:val="-4"/>
          <w:sz w:val="22"/>
          <w:szCs w:val="22"/>
        </w:rPr>
        <w:t>对</w:t>
      </w:r>
      <w:r>
        <w:rPr>
          <w:rFonts w:hint="eastAsia" w:ascii="宋体" w:hAnsi="宋体" w:eastAsia="宋体" w:cs="宋体"/>
          <w:color w:val="000000"/>
          <w:spacing w:val="-2"/>
          <w:sz w:val="22"/>
          <w:szCs w:val="22"/>
        </w:rPr>
        <w:t>湿</w:t>
      </w:r>
      <w:r>
        <w:rPr>
          <w:rFonts w:hint="eastAsia" w:ascii="宋体" w:hAnsi="宋体" w:eastAsia="宋体" w:cs="宋体"/>
          <w:color w:val="000000"/>
          <w:spacing w:val="70"/>
          <w:sz w:val="22"/>
          <w:szCs w:val="22"/>
        </w:rPr>
        <w:t>度</w:t>
      </w:r>
      <w:r>
        <w:rPr>
          <w:rFonts w:hint="eastAsia" w:ascii="宋体" w:hAnsi="宋体" w:eastAsia="宋体" w:cs="宋体"/>
          <w:color w:val="000000"/>
          <w:sz w:val="22"/>
          <w:szCs w:val="22"/>
        </w:rPr>
        <w:t>65</w:t>
      </w:r>
      <w:r>
        <w:rPr>
          <w:rFonts w:hint="eastAsia" w:ascii="宋体" w:hAnsi="宋体" w:eastAsia="宋体" w:cs="宋体"/>
          <w:color w:val="000000"/>
          <w:spacing w:val="2"/>
          <w:sz w:val="22"/>
          <w:szCs w:val="22"/>
        </w:rPr>
        <w:t>%</w:t>
      </w:r>
      <w:r>
        <w:rPr>
          <w:rFonts w:hint="eastAsia" w:ascii="宋体" w:hAnsi="宋体" w:eastAsia="宋体" w:cs="宋体"/>
          <w:color w:val="000000"/>
          <w:spacing w:val="2"/>
          <w:sz w:val="22"/>
          <w:szCs w:val="22"/>
          <w:lang w:eastAsia="zh-CN"/>
        </w:rPr>
        <w:t>（</w:t>
      </w:r>
      <w:r>
        <w:rPr>
          <w:rFonts w:hint="eastAsia" w:ascii="宋体" w:hAnsi="宋体" w:eastAsia="宋体" w:cs="宋体"/>
          <w:color w:val="000000"/>
          <w:spacing w:val="2"/>
          <w:sz w:val="22"/>
          <w:szCs w:val="22"/>
          <w:lang w:val="en-US" w:eastAsia="zh-CN"/>
        </w:rPr>
        <w:t>±2%</w:t>
      </w:r>
      <w:r>
        <w:rPr>
          <w:rFonts w:hint="eastAsia" w:ascii="宋体" w:hAnsi="宋体" w:eastAsia="宋体" w:cs="宋体"/>
          <w:color w:val="000000"/>
          <w:spacing w:val="2"/>
          <w:sz w:val="22"/>
          <w:szCs w:val="22"/>
          <w:lang w:eastAsia="zh-CN"/>
        </w:rPr>
        <w:t>）</w:t>
      </w:r>
      <w:r>
        <w:rPr>
          <w:rFonts w:hint="eastAsia" w:ascii="宋体" w:hAnsi="宋体" w:eastAsia="宋体" w:cs="宋体"/>
          <w:color w:val="000000"/>
          <w:sz w:val="22"/>
          <w:szCs w:val="22"/>
        </w:rPr>
        <w:t>、温</w:t>
      </w:r>
      <w:r>
        <w:rPr>
          <w:rFonts w:hint="eastAsia" w:ascii="宋体" w:hAnsi="宋体" w:eastAsia="宋体" w:cs="宋体"/>
          <w:color w:val="000000"/>
          <w:spacing w:val="70"/>
          <w:sz w:val="22"/>
          <w:szCs w:val="22"/>
        </w:rPr>
        <w:t>度</w:t>
      </w:r>
      <w:r>
        <w:rPr>
          <w:rFonts w:hint="eastAsia" w:ascii="宋体" w:hAnsi="宋体" w:eastAsia="宋体" w:cs="宋体"/>
          <w:color w:val="000000"/>
          <w:sz w:val="22"/>
          <w:szCs w:val="22"/>
        </w:rPr>
        <w:t>4℃~</w:t>
      </w:r>
      <w:r>
        <w:rPr>
          <w:rFonts w:hint="eastAsia" w:ascii="宋体" w:hAnsi="宋体" w:eastAsia="宋体" w:cs="宋体"/>
          <w:color w:val="000000"/>
          <w:spacing w:val="-4"/>
          <w:sz w:val="22"/>
          <w:szCs w:val="22"/>
        </w:rPr>
        <w:t>3</w:t>
      </w:r>
      <w:r>
        <w:rPr>
          <w:rFonts w:hint="eastAsia" w:ascii="宋体" w:hAnsi="宋体" w:eastAsia="宋体" w:cs="宋体"/>
          <w:color w:val="000000"/>
          <w:sz w:val="22"/>
          <w:szCs w:val="22"/>
        </w:rPr>
        <w:t>5</w:t>
      </w:r>
      <w:r>
        <w:rPr>
          <w:rFonts w:hint="eastAsia" w:ascii="宋体" w:hAnsi="宋体" w:eastAsia="宋体" w:cs="宋体"/>
          <w:color w:val="000000"/>
          <w:spacing w:val="-2"/>
          <w:sz w:val="22"/>
          <w:szCs w:val="22"/>
        </w:rPr>
        <w:t>℃</w:t>
      </w:r>
      <w:r>
        <w:rPr>
          <w:rFonts w:hint="eastAsia" w:ascii="宋体" w:hAnsi="宋体" w:eastAsia="宋体" w:cs="宋体"/>
          <w:color w:val="000000"/>
          <w:spacing w:val="1"/>
          <w:sz w:val="22"/>
          <w:szCs w:val="22"/>
        </w:rPr>
        <w:t xml:space="preserve"> </w:t>
      </w:r>
    </w:p>
    <w:p>
      <w:pPr>
        <w:pStyle w:val="18"/>
        <w:numPr>
          <w:ilvl w:val="0"/>
          <w:numId w:val="16"/>
        </w:numPr>
        <w:spacing w:line="360" w:lineRule="auto"/>
        <w:ind w:leftChars="0"/>
        <w:rPr>
          <w:rFonts w:hint="eastAsia" w:ascii="宋体" w:hAnsi="宋体" w:eastAsia="宋体" w:cs="宋体"/>
          <w:sz w:val="22"/>
          <w:szCs w:val="22"/>
        </w:rPr>
      </w:pPr>
      <w:r>
        <w:rPr>
          <w:rFonts w:hint="eastAsia" w:ascii="宋体" w:hAnsi="宋体" w:eastAsia="宋体" w:cs="宋体"/>
          <w:color w:val="000000"/>
          <w:sz w:val="22"/>
          <w:szCs w:val="22"/>
        </w:rPr>
        <w:t>采血量</w:t>
      </w:r>
      <w:r>
        <w:rPr>
          <w:rFonts w:hint="eastAsia" w:ascii="宋体" w:hAnsi="宋体" w:eastAsia="宋体" w:cs="宋体"/>
          <w:color w:val="000000"/>
          <w:spacing w:val="-2"/>
          <w:sz w:val="22"/>
          <w:szCs w:val="22"/>
        </w:rPr>
        <w:t>：</w:t>
      </w:r>
      <w:r>
        <w:rPr>
          <w:rFonts w:hint="eastAsia" w:ascii="宋体" w:hAnsi="宋体" w:eastAsia="宋体" w:cs="宋体"/>
          <w:color w:val="000000"/>
          <w:sz w:val="22"/>
          <w:szCs w:val="22"/>
        </w:rPr>
        <w:t>≤</w:t>
      </w:r>
      <w:r>
        <w:rPr>
          <w:rFonts w:hint="eastAsia" w:ascii="宋体" w:hAnsi="宋体" w:eastAsia="宋体" w:cs="宋体"/>
          <w:color w:val="000000"/>
          <w:spacing w:val="70"/>
          <w:sz w:val="22"/>
          <w:szCs w:val="22"/>
        </w:rPr>
        <w:t>1</w:t>
      </w:r>
      <w:r>
        <w:rPr>
          <w:rFonts w:hint="eastAsia" w:ascii="宋体" w:hAnsi="宋体" w:eastAsia="宋体" w:cs="宋体"/>
          <w:color w:val="000000"/>
          <w:sz w:val="22"/>
          <w:szCs w:val="22"/>
        </w:rPr>
        <w:t>微</w:t>
      </w:r>
      <w:r>
        <w:rPr>
          <w:rFonts w:hint="eastAsia" w:ascii="宋体" w:hAnsi="宋体" w:eastAsia="宋体" w:cs="宋体"/>
          <w:color w:val="000000"/>
          <w:spacing w:val="-4"/>
          <w:sz w:val="22"/>
          <w:szCs w:val="22"/>
        </w:rPr>
        <w:t>升</w:t>
      </w:r>
      <w:r>
        <w:rPr>
          <w:rFonts w:hint="eastAsia" w:ascii="宋体" w:hAnsi="宋体" w:eastAsia="宋体" w:cs="宋体"/>
          <w:color w:val="000000"/>
          <w:spacing w:val="1"/>
          <w:sz w:val="22"/>
          <w:szCs w:val="22"/>
        </w:rPr>
        <w:t xml:space="preserve"> </w:t>
      </w:r>
    </w:p>
    <w:p>
      <w:pPr>
        <w:pStyle w:val="18"/>
        <w:numPr>
          <w:ilvl w:val="0"/>
          <w:numId w:val="16"/>
        </w:numPr>
        <w:spacing w:line="360" w:lineRule="auto"/>
        <w:ind w:leftChars="0"/>
        <w:rPr>
          <w:rFonts w:hint="eastAsia" w:ascii="宋体" w:hAnsi="宋体" w:eastAsia="宋体" w:cs="宋体"/>
          <w:sz w:val="22"/>
          <w:szCs w:val="22"/>
        </w:rPr>
      </w:pPr>
      <w:r>
        <w:rPr>
          <w:rFonts w:hint="eastAsia" w:ascii="宋体" w:hAnsi="宋体" w:eastAsia="宋体" w:cs="宋体"/>
          <w:color w:val="000000"/>
          <w:sz w:val="22"/>
          <w:szCs w:val="22"/>
        </w:rPr>
        <w:t>检测时</w:t>
      </w:r>
      <w:r>
        <w:rPr>
          <w:rFonts w:hint="eastAsia" w:ascii="宋体" w:hAnsi="宋体" w:eastAsia="宋体" w:cs="宋体"/>
          <w:color w:val="000000"/>
          <w:spacing w:val="-2"/>
          <w:sz w:val="22"/>
          <w:szCs w:val="22"/>
        </w:rPr>
        <w:t>间</w:t>
      </w:r>
      <w:r>
        <w:rPr>
          <w:rFonts w:hint="eastAsia" w:ascii="宋体" w:hAnsi="宋体" w:eastAsia="宋体" w:cs="宋体"/>
          <w:color w:val="000000"/>
          <w:sz w:val="22"/>
          <w:szCs w:val="22"/>
        </w:rPr>
        <w:t>：</w:t>
      </w:r>
      <w:r>
        <w:rPr>
          <w:rFonts w:hint="eastAsia" w:ascii="宋体" w:hAnsi="宋体" w:eastAsia="宋体" w:cs="宋体"/>
          <w:color w:val="000000"/>
          <w:spacing w:val="2"/>
          <w:sz w:val="22"/>
          <w:szCs w:val="22"/>
        </w:rPr>
        <w:t>≤</w:t>
      </w:r>
      <w:r>
        <w:rPr>
          <w:rFonts w:hint="eastAsia" w:ascii="宋体" w:hAnsi="宋体" w:eastAsia="宋体" w:cs="宋体"/>
          <w:color w:val="000000"/>
          <w:spacing w:val="-2"/>
          <w:sz w:val="22"/>
          <w:szCs w:val="22"/>
        </w:rPr>
        <w:t>6S</w:t>
      </w:r>
      <w:r>
        <w:rPr>
          <w:rFonts w:hint="eastAsia" w:ascii="宋体" w:hAnsi="宋体" w:eastAsia="宋体" w:cs="宋体"/>
          <w:color w:val="000000"/>
          <w:spacing w:val="1"/>
          <w:sz w:val="22"/>
          <w:szCs w:val="22"/>
        </w:rPr>
        <w:t xml:space="preserve"> </w:t>
      </w:r>
    </w:p>
    <w:p>
      <w:pPr>
        <w:pStyle w:val="18"/>
        <w:numPr>
          <w:ilvl w:val="0"/>
          <w:numId w:val="16"/>
        </w:numPr>
        <w:spacing w:line="360" w:lineRule="auto"/>
        <w:ind w:leftChars="0"/>
        <w:rPr>
          <w:rFonts w:hint="eastAsia" w:ascii="宋体" w:hAnsi="宋体" w:eastAsia="宋体" w:cs="宋体"/>
          <w:sz w:val="22"/>
          <w:szCs w:val="22"/>
        </w:rPr>
      </w:pPr>
      <w:r>
        <w:rPr>
          <w:rFonts w:hint="eastAsia" w:ascii="宋体" w:hAnsi="宋体" w:eastAsia="宋体" w:cs="宋体"/>
          <w:color w:val="000000"/>
          <w:sz w:val="22"/>
          <w:szCs w:val="22"/>
        </w:rPr>
        <w:t>红细胞</w:t>
      </w:r>
      <w:r>
        <w:rPr>
          <w:rFonts w:hint="eastAsia" w:ascii="宋体" w:hAnsi="宋体" w:eastAsia="宋体" w:cs="宋体"/>
          <w:color w:val="000000"/>
          <w:spacing w:val="-2"/>
          <w:sz w:val="22"/>
          <w:szCs w:val="22"/>
        </w:rPr>
        <w:t>压</w:t>
      </w:r>
      <w:r>
        <w:rPr>
          <w:rFonts w:hint="eastAsia" w:ascii="宋体" w:hAnsi="宋体" w:eastAsia="宋体" w:cs="宋体"/>
          <w:color w:val="000000"/>
          <w:sz w:val="22"/>
          <w:szCs w:val="22"/>
        </w:rPr>
        <w:t>积率：3</w:t>
      </w:r>
      <w:r>
        <w:rPr>
          <w:rFonts w:hint="eastAsia" w:ascii="宋体" w:hAnsi="宋体" w:eastAsia="宋体" w:cs="宋体"/>
          <w:color w:val="000000"/>
          <w:spacing w:val="-2"/>
          <w:sz w:val="22"/>
          <w:szCs w:val="22"/>
        </w:rPr>
        <w:t>0%</w:t>
      </w:r>
      <w:r>
        <w:rPr>
          <w:rFonts w:hint="eastAsia" w:ascii="宋体" w:hAnsi="宋体" w:eastAsia="宋体" w:cs="宋体"/>
          <w:color w:val="000000"/>
          <w:sz w:val="22"/>
          <w:szCs w:val="22"/>
        </w:rPr>
        <w:t>-60</w:t>
      </w:r>
      <w:r>
        <w:rPr>
          <w:rFonts w:hint="eastAsia" w:ascii="宋体" w:hAnsi="宋体" w:eastAsia="宋体" w:cs="宋体"/>
          <w:color w:val="000000"/>
          <w:spacing w:val="-2"/>
          <w:sz w:val="22"/>
          <w:szCs w:val="22"/>
        </w:rPr>
        <w:t>%</w:t>
      </w:r>
      <w:r>
        <w:rPr>
          <w:rFonts w:hint="eastAsia" w:ascii="宋体" w:hAnsi="宋体" w:eastAsia="宋体" w:cs="宋体"/>
          <w:color w:val="000000"/>
          <w:spacing w:val="1"/>
          <w:sz w:val="22"/>
          <w:szCs w:val="22"/>
        </w:rPr>
        <w:t xml:space="preserve"> </w:t>
      </w:r>
    </w:p>
    <w:p>
      <w:pPr>
        <w:pStyle w:val="18"/>
        <w:numPr>
          <w:ilvl w:val="0"/>
          <w:numId w:val="16"/>
        </w:numPr>
        <w:spacing w:line="360" w:lineRule="auto"/>
        <w:ind w:leftChars="0"/>
        <w:rPr>
          <w:rFonts w:hint="eastAsia" w:ascii="宋体" w:hAnsi="宋体" w:eastAsia="宋体" w:cs="宋体"/>
          <w:sz w:val="22"/>
          <w:szCs w:val="22"/>
        </w:rPr>
      </w:pPr>
      <w:r>
        <w:rPr>
          <w:rFonts w:hint="eastAsia" w:ascii="宋体" w:hAnsi="宋体" w:eastAsia="宋体" w:cs="宋体"/>
          <w:color w:val="000000"/>
          <w:sz w:val="22"/>
          <w:szCs w:val="22"/>
        </w:rPr>
        <w:t>血样要</w:t>
      </w:r>
      <w:r>
        <w:rPr>
          <w:rFonts w:hint="eastAsia" w:ascii="宋体" w:hAnsi="宋体" w:eastAsia="宋体" w:cs="宋体"/>
          <w:color w:val="000000"/>
          <w:spacing w:val="-2"/>
          <w:sz w:val="22"/>
          <w:szCs w:val="22"/>
        </w:rPr>
        <w:t>求</w:t>
      </w:r>
      <w:r>
        <w:rPr>
          <w:rFonts w:hint="eastAsia" w:ascii="宋体" w:hAnsi="宋体" w:eastAsia="宋体" w:cs="宋体"/>
          <w:color w:val="000000"/>
          <w:sz w:val="22"/>
          <w:szCs w:val="22"/>
        </w:rPr>
        <w:t>：新</w:t>
      </w:r>
      <w:r>
        <w:rPr>
          <w:rFonts w:hint="eastAsia" w:ascii="宋体" w:hAnsi="宋体" w:eastAsia="宋体" w:cs="宋体"/>
          <w:color w:val="000000"/>
          <w:spacing w:val="-4"/>
          <w:sz w:val="22"/>
          <w:szCs w:val="22"/>
        </w:rPr>
        <w:t>鲜</w:t>
      </w:r>
      <w:r>
        <w:rPr>
          <w:rFonts w:hint="eastAsia" w:ascii="宋体" w:hAnsi="宋体" w:eastAsia="宋体" w:cs="宋体"/>
          <w:color w:val="000000"/>
          <w:spacing w:val="-2"/>
          <w:sz w:val="22"/>
          <w:szCs w:val="22"/>
        </w:rPr>
        <w:t>毛</w:t>
      </w:r>
      <w:r>
        <w:rPr>
          <w:rFonts w:hint="eastAsia" w:ascii="宋体" w:hAnsi="宋体" w:eastAsia="宋体" w:cs="宋体"/>
          <w:color w:val="000000"/>
          <w:sz w:val="22"/>
          <w:szCs w:val="22"/>
        </w:rPr>
        <w:t>细血管</w:t>
      </w:r>
      <w:r>
        <w:rPr>
          <w:rFonts w:hint="eastAsia" w:ascii="宋体" w:hAnsi="宋体" w:eastAsia="宋体" w:cs="宋体"/>
          <w:color w:val="000000"/>
          <w:spacing w:val="-2"/>
          <w:sz w:val="22"/>
          <w:szCs w:val="22"/>
        </w:rPr>
        <w:t>全</w:t>
      </w:r>
      <w:r>
        <w:rPr>
          <w:rFonts w:hint="eastAsia" w:ascii="宋体" w:hAnsi="宋体" w:eastAsia="宋体" w:cs="宋体"/>
          <w:color w:val="000000"/>
          <w:sz w:val="22"/>
          <w:szCs w:val="22"/>
        </w:rPr>
        <w:t>血、</w:t>
      </w:r>
      <w:r>
        <w:rPr>
          <w:rFonts w:hint="eastAsia" w:ascii="宋体" w:hAnsi="宋体" w:eastAsia="宋体" w:cs="宋体"/>
          <w:color w:val="000000"/>
          <w:spacing w:val="-2"/>
          <w:sz w:val="22"/>
          <w:szCs w:val="22"/>
        </w:rPr>
        <w:t>新鲜</w:t>
      </w:r>
      <w:r>
        <w:rPr>
          <w:rFonts w:hint="eastAsia" w:ascii="宋体" w:hAnsi="宋体" w:eastAsia="宋体" w:cs="宋体"/>
          <w:color w:val="000000"/>
          <w:sz w:val="22"/>
          <w:szCs w:val="22"/>
        </w:rPr>
        <w:t>静脉全</w:t>
      </w:r>
      <w:r>
        <w:rPr>
          <w:rFonts w:hint="eastAsia" w:ascii="宋体" w:hAnsi="宋体" w:eastAsia="宋体" w:cs="宋体"/>
          <w:color w:val="000000"/>
          <w:spacing w:val="-2"/>
          <w:sz w:val="22"/>
          <w:szCs w:val="22"/>
        </w:rPr>
        <w:t>血</w:t>
      </w:r>
    </w:p>
    <w:p>
      <w:pPr>
        <w:pStyle w:val="18"/>
        <w:numPr>
          <w:ilvl w:val="0"/>
          <w:numId w:val="16"/>
        </w:numPr>
        <w:spacing w:line="360" w:lineRule="auto"/>
        <w:ind w:leftChars="0"/>
        <w:rPr>
          <w:rFonts w:hint="eastAsia" w:ascii="宋体" w:hAnsi="宋体" w:eastAsia="宋体" w:cs="宋体"/>
          <w:sz w:val="22"/>
          <w:szCs w:val="22"/>
        </w:rPr>
      </w:pPr>
      <w:r>
        <w:rPr>
          <w:rFonts w:hint="eastAsia" w:ascii="宋体" w:hAnsi="宋体" w:eastAsia="宋体" w:cs="宋体"/>
          <w:color w:val="000000"/>
          <w:sz w:val="22"/>
          <w:szCs w:val="22"/>
        </w:rPr>
        <w:t>使用温</w:t>
      </w:r>
      <w:r>
        <w:rPr>
          <w:rFonts w:hint="eastAsia" w:ascii="宋体" w:hAnsi="宋体" w:eastAsia="宋体" w:cs="宋体"/>
          <w:color w:val="000000"/>
          <w:spacing w:val="-2"/>
          <w:sz w:val="22"/>
          <w:szCs w:val="22"/>
        </w:rPr>
        <w:t>度</w:t>
      </w:r>
      <w:r>
        <w:rPr>
          <w:rFonts w:hint="eastAsia" w:ascii="宋体" w:hAnsi="宋体" w:eastAsia="宋体" w:cs="宋体"/>
          <w:color w:val="000000"/>
          <w:sz w:val="22"/>
          <w:szCs w:val="22"/>
        </w:rPr>
        <w:t>为</w:t>
      </w:r>
      <w:r>
        <w:rPr>
          <w:rFonts w:hint="eastAsia" w:ascii="宋体" w:hAnsi="宋体" w:eastAsia="宋体" w:cs="宋体"/>
          <w:color w:val="000000"/>
          <w:spacing w:val="2"/>
          <w:sz w:val="22"/>
          <w:szCs w:val="22"/>
        </w:rPr>
        <w:t>：</w:t>
      </w:r>
      <w:r>
        <w:rPr>
          <w:rFonts w:hint="eastAsia" w:ascii="宋体" w:hAnsi="宋体" w:eastAsia="宋体" w:cs="宋体"/>
          <w:color w:val="000000"/>
          <w:spacing w:val="-2"/>
          <w:sz w:val="22"/>
          <w:szCs w:val="22"/>
        </w:rPr>
        <w:t>5</w:t>
      </w:r>
      <w:r>
        <w:rPr>
          <w:rFonts w:hint="eastAsia" w:ascii="宋体" w:hAnsi="宋体" w:eastAsia="宋体" w:cs="宋体"/>
          <w:color w:val="000000"/>
          <w:sz w:val="22"/>
          <w:szCs w:val="22"/>
        </w:rPr>
        <w:t>℃~</w:t>
      </w:r>
      <w:r>
        <w:rPr>
          <w:rFonts w:hint="eastAsia" w:ascii="宋体" w:hAnsi="宋体" w:eastAsia="宋体" w:cs="宋体"/>
          <w:color w:val="000000"/>
          <w:spacing w:val="-4"/>
          <w:sz w:val="22"/>
          <w:szCs w:val="22"/>
        </w:rPr>
        <w:t>4</w:t>
      </w:r>
      <w:r>
        <w:rPr>
          <w:rFonts w:hint="eastAsia" w:ascii="宋体" w:hAnsi="宋体" w:eastAsia="宋体" w:cs="宋体"/>
          <w:color w:val="000000"/>
          <w:sz w:val="22"/>
          <w:szCs w:val="22"/>
        </w:rPr>
        <w:t>0℃</w:t>
      </w:r>
    </w:p>
    <w:p>
      <w:pPr>
        <w:pStyle w:val="18"/>
        <w:numPr>
          <w:ilvl w:val="0"/>
          <w:numId w:val="16"/>
        </w:numPr>
        <w:spacing w:line="360" w:lineRule="auto"/>
        <w:ind w:leftChars="0"/>
        <w:rPr>
          <w:rFonts w:hint="eastAsia" w:ascii="宋体" w:hAnsi="宋体" w:eastAsia="宋体" w:cs="宋体"/>
          <w:sz w:val="22"/>
          <w:szCs w:val="22"/>
        </w:rPr>
      </w:pPr>
      <w:r>
        <w:rPr>
          <w:rFonts w:hint="eastAsia" w:ascii="宋体" w:hAnsi="宋体" w:eastAsia="宋体" w:cs="宋体"/>
          <w:color w:val="000000"/>
          <w:sz w:val="22"/>
          <w:szCs w:val="22"/>
        </w:rPr>
        <w:t>批间差</w:t>
      </w:r>
      <w:r>
        <w:rPr>
          <w:rFonts w:hint="eastAsia" w:ascii="宋体" w:hAnsi="宋体" w:eastAsia="宋体" w:cs="宋体"/>
          <w:color w:val="000000"/>
          <w:spacing w:val="-2"/>
          <w:sz w:val="22"/>
          <w:szCs w:val="22"/>
        </w:rPr>
        <w:t>：</w:t>
      </w:r>
      <w:r>
        <w:rPr>
          <w:rFonts w:hint="eastAsia" w:ascii="宋体" w:hAnsi="宋体" w:eastAsia="宋体" w:cs="宋体"/>
          <w:color w:val="000000"/>
          <w:sz w:val="22"/>
          <w:szCs w:val="22"/>
        </w:rPr>
        <w:t>不同</w:t>
      </w:r>
      <w:r>
        <w:rPr>
          <w:rFonts w:hint="eastAsia" w:ascii="宋体" w:hAnsi="宋体" w:eastAsia="宋体" w:cs="宋体"/>
          <w:color w:val="000000"/>
          <w:spacing w:val="-4"/>
          <w:sz w:val="22"/>
          <w:szCs w:val="22"/>
        </w:rPr>
        <w:t>批</w:t>
      </w:r>
      <w:r>
        <w:rPr>
          <w:rFonts w:hint="eastAsia" w:ascii="宋体" w:hAnsi="宋体" w:eastAsia="宋体" w:cs="宋体"/>
          <w:color w:val="000000"/>
          <w:spacing w:val="-2"/>
          <w:sz w:val="22"/>
          <w:szCs w:val="22"/>
        </w:rPr>
        <w:t>号</w:t>
      </w:r>
      <w:r>
        <w:rPr>
          <w:rFonts w:hint="eastAsia" w:ascii="宋体" w:hAnsi="宋体" w:eastAsia="宋体" w:cs="宋体"/>
          <w:color w:val="000000"/>
          <w:sz w:val="22"/>
          <w:szCs w:val="22"/>
        </w:rPr>
        <w:t>血糖试</w:t>
      </w:r>
      <w:r>
        <w:rPr>
          <w:rFonts w:hint="eastAsia" w:ascii="宋体" w:hAnsi="宋体" w:eastAsia="宋体" w:cs="宋体"/>
          <w:color w:val="000000"/>
          <w:spacing w:val="-2"/>
          <w:sz w:val="22"/>
          <w:szCs w:val="22"/>
        </w:rPr>
        <w:t>纸</w:t>
      </w:r>
      <w:r>
        <w:rPr>
          <w:rFonts w:hint="eastAsia" w:ascii="宋体" w:hAnsi="宋体" w:eastAsia="宋体" w:cs="宋体"/>
          <w:color w:val="000000"/>
          <w:sz w:val="22"/>
          <w:szCs w:val="22"/>
        </w:rPr>
        <w:t>的批</w:t>
      </w:r>
      <w:r>
        <w:rPr>
          <w:rFonts w:hint="eastAsia" w:ascii="宋体" w:hAnsi="宋体" w:eastAsia="宋体" w:cs="宋体"/>
          <w:color w:val="000000"/>
          <w:spacing w:val="-2"/>
          <w:sz w:val="22"/>
          <w:szCs w:val="22"/>
        </w:rPr>
        <w:t>间差</w:t>
      </w:r>
      <w:r>
        <w:rPr>
          <w:rFonts w:hint="eastAsia" w:ascii="宋体" w:hAnsi="宋体" w:eastAsia="宋体" w:cs="宋体"/>
          <w:color w:val="000000"/>
          <w:spacing w:val="-2"/>
          <w:sz w:val="22"/>
          <w:szCs w:val="22"/>
          <w:lang w:val="en-US" w:eastAsia="zh-CN"/>
        </w:rPr>
        <w:t>≤</w:t>
      </w:r>
      <w:r>
        <w:rPr>
          <w:rFonts w:hint="eastAsia" w:ascii="宋体" w:hAnsi="宋体" w:eastAsia="宋体" w:cs="宋体"/>
          <w:color w:val="000000"/>
          <w:sz w:val="22"/>
          <w:szCs w:val="22"/>
        </w:rPr>
        <w:t>15</w:t>
      </w:r>
      <w:r>
        <w:rPr>
          <w:rFonts w:hint="eastAsia" w:ascii="宋体" w:hAnsi="宋体" w:eastAsia="宋体" w:cs="宋体"/>
          <w:color w:val="000000"/>
          <w:spacing w:val="-2"/>
          <w:sz w:val="22"/>
          <w:szCs w:val="22"/>
        </w:rPr>
        <w:t>％</w:t>
      </w:r>
    </w:p>
    <w:p>
      <w:pPr>
        <w:pStyle w:val="18"/>
        <w:numPr>
          <w:ilvl w:val="0"/>
          <w:numId w:val="16"/>
        </w:numPr>
        <w:spacing w:line="360" w:lineRule="auto"/>
        <w:ind w:leftChars="0"/>
        <w:rPr>
          <w:rFonts w:hint="eastAsia" w:ascii="宋体" w:hAnsi="宋体" w:eastAsia="宋体" w:cs="宋体"/>
          <w:sz w:val="22"/>
          <w:szCs w:val="22"/>
        </w:rPr>
      </w:pPr>
      <w:r>
        <w:rPr>
          <w:rFonts w:hint="eastAsia" w:ascii="宋体" w:hAnsi="宋体" w:eastAsia="宋体" w:cs="宋体"/>
          <w:color w:val="000000"/>
          <w:sz w:val="22"/>
          <w:szCs w:val="22"/>
        </w:rPr>
        <w:t>测量精</w:t>
      </w:r>
      <w:r>
        <w:rPr>
          <w:rFonts w:hint="eastAsia" w:ascii="宋体" w:hAnsi="宋体" w:eastAsia="宋体" w:cs="宋体"/>
          <w:color w:val="000000"/>
          <w:spacing w:val="-2"/>
          <w:sz w:val="22"/>
          <w:szCs w:val="22"/>
        </w:rPr>
        <w:t>度</w:t>
      </w:r>
      <w:r>
        <w:rPr>
          <w:rFonts w:hint="eastAsia" w:ascii="宋体" w:hAnsi="宋体" w:eastAsia="宋体" w:cs="宋体"/>
          <w:color w:val="000000"/>
          <w:sz w:val="22"/>
          <w:szCs w:val="22"/>
        </w:rPr>
        <w:t>：误</w:t>
      </w:r>
      <w:r>
        <w:rPr>
          <w:rFonts w:hint="eastAsia" w:ascii="宋体" w:hAnsi="宋体" w:eastAsia="宋体" w:cs="宋体"/>
          <w:color w:val="000000"/>
          <w:spacing w:val="-4"/>
          <w:sz w:val="22"/>
          <w:szCs w:val="22"/>
        </w:rPr>
        <w:t>差</w:t>
      </w:r>
      <w:r>
        <w:rPr>
          <w:rFonts w:hint="eastAsia" w:ascii="宋体" w:hAnsi="宋体" w:eastAsia="宋体" w:cs="宋体"/>
          <w:color w:val="000000"/>
          <w:spacing w:val="-2"/>
          <w:sz w:val="22"/>
          <w:szCs w:val="22"/>
        </w:rPr>
        <w:t>不</w:t>
      </w:r>
      <w:r>
        <w:rPr>
          <w:rFonts w:hint="eastAsia" w:ascii="宋体" w:hAnsi="宋体" w:eastAsia="宋体" w:cs="宋体"/>
          <w:color w:val="000000"/>
          <w:sz w:val="22"/>
          <w:szCs w:val="22"/>
        </w:rPr>
        <w:t>超过±0.3m</w:t>
      </w:r>
      <w:r>
        <w:rPr>
          <w:rFonts w:hint="eastAsia" w:ascii="宋体" w:hAnsi="宋体" w:eastAsia="宋体" w:cs="宋体"/>
          <w:color w:val="000000"/>
          <w:spacing w:val="-2"/>
          <w:sz w:val="22"/>
          <w:szCs w:val="22"/>
        </w:rPr>
        <w:t>mo</w:t>
      </w:r>
      <w:r>
        <w:rPr>
          <w:rFonts w:hint="eastAsia" w:ascii="宋体" w:hAnsi="宋体" w:eastAsia="宋体" w:cs="宋体"/>
          <w:color w:val="000000"/>
          <w:sz w:val="22"/>
          <w:szCs w:val="22"/>
        </w:rPr>
        <w:t>l/L</w:t>
      </w:r>
      <w:r>
        <w:rPr>
          <w:rFonts w:hint="eastAsia" w:ascii="宋体" w:hAnsi="宋体" w:eastAsia="宋体" w:cs="宋体"/>
          <w:color w:val="000000"/>
          <w:spacing w:val="-1"/>
          <w:sz w:val="22"/>
          <w:szCs w:val="22"/>
        </w:rPr>
        <w:t xml:space="preserve"> </w:t>
      </w: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pStyle w:val="56"/>
        <w:numPr>
          <w:ilvl w:val="0"/>
          <w:numId w:val="0"/>
        </w:numPr>
        <w:spacing w:line="360" w:lineRule="auto"/>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包件八：</w:t>
      </w:r>
    </w:p>
    <w:p>
      <w:pPr>
        <w:pStyle w:val="56"/>
        <w:numPr>
          <w:ilvl w:val="0"/>
          <w:numId w:val="17"/>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宋体"/>
          <w:b w:val="0"/>
          <w:bCs w:val="0"/>
          <w:sz w:val="24"/>
          <w:szCs w:val="24"/>
          <w:lang w:val="en-US" w:eastAsia="zh-CN"/>
        </w:rPr>
        <w:t>：荧光染色液</w:t>
      </w:r>
    </w:p>
    <w:p>
      <w:pPr>
        <w:pStyle w:val="56"/>
        <w:numPr>
          <w:ilvl w:val="0"/>
          <w:numId w:val="17"/>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6"/>
        <w:numPr>
          <w:ilvl w:val="0"/>
          <w:numId w:val="17"/>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6"/>
        <w:numPr>
          <w:ilvl w:val="0"/>
          <w:numId w:val="17"/>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6"/>
        <w:widowControl w:val="0"/>
        <w:numPr>
          <w:ilvl w:val="0"/>
          <w:numId w:val="17"/>
        </w:numPr>
        <w:spacing w:line="360" w:lineRule="auto"/>
        <w:ind w:left="-420" w:leftChars="0" w:firstLine="420" w:firstLineChars="0"/>
        <w:jc w:val="both"/>
        <w:rPr>
          <w:rFonts w:hint="eastAsia" w:ascii="宋体" w:hAnsi="宋体" w:eastAsia="宋体"/>
          <w:b w:val="0"/>
          <w:bCs w:val="0"/>
          <w:sz w:val="24"/>
          <w:szCs w:val="24"/>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pStyle w:val="18"/>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★投标人需响应医院SPD项目相关要求,并与上药医疗供应链管理(上海)有限公司签署相关SPD协议。</w:t>
      </w:r>
    </w:p>
    <w:tbl>
      <w:tblPr>
        <w:tblStyle w:val="33"/>
        <w:tblW w:w="8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9"/>
        <w:gridCol w:w="7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689" w:type="dxa"/>
            <w:vAlign w:val="center"/>
          </w:tcPr>
          <w:p>
            <w:pPr>
              <w:spacing w:after="0" w:line="240" w:lineRule="auto"/>
              <w:jc w:val="center"/>
              <w:rPr>
                <w:rFonts w:hint="eastAsia" w:ascii="宋体" w:hAnsi="宋体" w:eastAsia="宋体" w:cs="宋体"/>
                <w:b w:val="0"/>
                <w:bCs w:val="0"/>
                <w:lang w:eastAsia="zh-CN"/>
              </w:rPr>
            </w:pPr>
            <w:r>
              <w:rPr>
                <w:rFonts w:hint="eastAsia" w:ascii="宋体" w:hAnsi="宋体" w:eastAsia="宋体" w:cs="宋体"/>
                <w:b w:val="0"/>
                <w:bCs w:val="0"/>
                <w:lang w:val="en-US" w:eastAsia="zh-CN"/>
              </w:rPr>
              <w:t>一、</w:t>
            </w:r>
          </w:p>
        </w:tc>
        <w:tc>
          <w:tcPr>
            <w:tcW w:w="7058" w:type="dxa"/>
            <w:vAlign w:val="center"/>
          </w:tcPr>
          <w:p>
            <w:pPr>
              <w:spacing w:after="0" w:line="240" w:lineRule="auto"/>
              <w:jc w:val="center"/>
              <w:rPr>
                <w:rFonts w:hint="eastAsia" w:ascii="宋体" w:hAnsi="宋体" w:eastAsia="宋体" w:cs="宋体"/>
                <w:b w:val="0"/>
                <w:bCs w:val="0"/>
              </w:rPr>
            </w:pPr>
            <w:r>
              <w:rPr>
                <w:rFonts w:hint="eastAsia" w:ascii="宋体" w:hAnsi="宋体" w:eastAsia="宋体" w:cs="宋体"/>
                <w:b w:val="0"/>
                <w:bCs w:val="0"/>
              </w:rPr>
              <w:t>荧光染色液</w:t>
            </w:r>
            <w:r>
              <w:rPr>
                <w:rFonts w:hint="eastAsia" w:ascii="宋体" w:hAnsi="宋体" w:eastAsia="宋体" w:cs="宋体"/>
                <w:b w:val="0"/>
                <w:bCs w:val="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689" w:type="dxa"/>
            <w:vAlign w:val="center"/>
          </w:tcPr>
          <w:p>
            <w:pPr>
              <w:spacing w:after="0" w:line="240" w:lineRule="auto"/>
              <w:jc w:val="center"/>
              <w:rPr>
                <w:rFonts w:hint="eastAsia" w:ascii="宋体" w:hAnsi="宋体" w:eastAsia="宋体" w:cs="宋体"/>
                <w:b w:val="0"/>
                <w:bCs w:val="0"/>
              </w:rPr>
            </w:pPr>
            <w:r>
              <w:rPr>
                <w:rFonts w:hint="eastAsia" w:ascii="宋体" w:hAnsi="宋体" w:eastAsia="宋体" w:cs="宋体"/>
                <w:b w:val="0"/>
                <w:bCs w:val="0"/>
              </w:rPr>
              <w:t>主要组成成分</w:t>
            </w:r>
          </w:p>
        </w:tc>
        <w:tc>
          <w:tcPr>
            <w:tcW w:w="7058" w:type="dxa"/>
            <w:vAlign w:val="center"/>
          </w:tcPr>
          <w:p>
            <w:pPr>
              <w:spacing w:after="0" w:line="240" w:lineRule="auto"/>
              <w:jc w:val="left"/>
              <w:rPr>
                <w:rFonts w:hint="eastAsia" w:ascii="宋体" w:hAnsi="宋体" w:eastAsia="宋体" w:cs="宋体"/>
                <w:b w:val="0"/>
                <w:bCs w:val="0"/>
              </w:rPr>
            </w:pPr>
            <w:r>
              <w:rPr>
                <w:rFonts w:hint="eastAsia" w:ascii="宋体" w:hAnsi="宋体" w:eastAsia="宋体" w:cs="宋体"/>
                <w:b w:val="0"/>
                <w:bCs w:val="0"/>
              </w:rPr>
              <w:t>荧光染料(Sybr Green I)、磷酸二氢钠、十二水合磷酸氢二钠、氢氧化钠、甘油、防腐剂(Proclin 300)、纯化水。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689" w:type="dxa"/>
            <w:vAlign w:val="center"/>
          </w:tcPr>
          <w:p>
            <w:pPr>
              <w:spacing w:after="0" w:line="240" w:lineRule="auto"/>
              <w:jc w:val="center"/>
              <w:rPr>
                <w:rFonts w:hint="eastAsia" w:ascii="宋体" w:hAnsi="宋体" w:eastAsia="宋体" w:cs="宋体"/>
                <w:b w:val="0"/>
                <w:bCs w:val="0"/>
              </w:rPr>
            </w:pPr>
            <w:r>
              <w:rPr>
                <w:rFonts w:hint="eastAsia" w:ascii="宋体" w:hAnsi="宋体" w:eastAsia="宋体" w:cs="宋体"/>
                <w:b w:val="0"/>
                <w:bCs w:val="0"/>
              </w:rPr>
              <w:t>有效期</w:t>
            </w:r>
          </w:p>
        </w:tc>
        <w:tc>
          <w:tcPr>
            <w:tcW w:w="7058" w:type="dxa"/>
            <w:vAlign w:val="center"/>
          </w:tcPr>
          <w:p>
            <w:pPr>
              <w:spacing w:after="0" w:line="240" w:lineRule="auto"/>
              <w:jc w:val="left"/>
              <w:rPr>
                <w:rFonts w:hint="eastAsia" w:ascii="宋体" w:hAnsi="宋体" w:eastAsia="宋体" w:cs="宋体"/>
                <w:b w:val="0"/>
                <w:bCs w:val="0"/>
              </w:rPr>
            </w:pPr>
            <w:r>
              <w:rPr>
                <w:rFonts w:hint="eastAsia" w:ascii="宋体" w:hAnsi="宋体" w:eastAsia="宋体" w:cs="宋体"/>
                <w:b w:val="0"/>
                <w:bCs w:val="0"/>
              </w:rPr>
              <w:t>有效期</w:t>
            </w:r>
            <w:r>
              <w:rPr>
                <w:rFonts w:hint="eastAsia" w:ascii="宋体" w:hAnsi="宋体" w:eastAsia="宋体" w:cs="宋体"/>
                <w:b w:val="0"/>
                <w:bCs w:val="0"/>
                <w:lang w:val="en-US" w:eastAsia="zh-CN"/>
              </w:rPr>
              <w:t>≥</w:t>
            </w:r>
            <w:r>
              <w:rPr>
                <w:rFonts w:hint="eastAsia" w:ascii="宋体" w:hAnsi="宋体" w:eastAsia="宋体" w:cs="宋体"/>
                <w:b w:val="0"/>
                <w:bCs w:val="0"/>
              </w:rPr>
              <w:t>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689" w:type="dxa"/>
            <w:vAlign w:val="center"/>
          </w:tcPr>
          <w:p>
            <w:pPr>
              <w:spacing w:after="0" w:line="240" w:lineRule="auto"/>
              <w:jc w:val="center"/>
              <w:rPr>
                <w:rFonts w:hint="eastAsia" w:ascii="宋体" w:hAnsi="宋体" w:eastAsia="宋体" w:cs="宋体"/>
                <w:b w:val="0"/>
                <w:bCs w:val="0"/>
              </w:rPr>
            </w:pPr>
            <w:r>
              <w:rPr>
                <w:rFonts w:hint="eastAsia" w:ascii="宋体" w:hAnsi="宋体" w:eastAsia="宋体" w:cs="宋体"/>
                <w:b w:val="0"/>
                <w:bCs w:val="0"/>
              </w:rPr>
              <w:t>用途</w:t>
            </w:r>
          </w:p>
        </w:tc>
        <w:tc>
          <w:tcPr>
            <w:tcW w:w="7058" w:type="dxa"/>
            <w:vAlign w:val="center"/>
          </w:tcPr>
          <w:p>
            <w:pPr>
              <w:spacing w:after="0" w:line="240" w:lineRule="auto"/>
              <w:jc w:val="left"/>
              <w:rPr>
                <w:rFonts w:hint="eastAsia" w:ascii="宋体" w:hAnsi="宋体" w:eastAsia="宋体" w:cs="宋体"/>
                <w:b w:val="0"/>
                <w:bCs w:val="0"/>
              </w:rPr>
            </w:pPr>
            <w:r>
              <w:rPr>
                <w:rFonts w:hint="eastAsia" w:ascii="宋体" w:hAnsi="宋体" w:eastAsia="宋体" w:cs="宋体"/>
                <w:b w:val="0"/>
                <w:bCs w:val="0"/>
              </w:rPr>
              <w:t>样本处理用产品，用于阴道分泌物样本的荧光染色。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1689" w:type="dxa"/>
            <w:vAlign w:val="center"/>
          </w:tcPr>
          <w:p>
            <w:pPr>
              <w:spacing w:after="0" w:line="240" w:lineRule="auto"/>
              <w:jc w:val="center"/>
              <w:rPr>
                <w:rFonts w:hint="eastAsia" w:ascii="宋体" w:hAnsi="宋体" w:eastAsia="宋体" w:cs="宋体"/>
                <w:b w:val="0"/>
                <w:bCs w:val="0"/>
                <w:lang w:eastAsia="zh-CN"/>
              </w:rPr>
            </w:pPr>
            <w:r>
              <w:rPr>
                <w:rFonts w:hint="eastAsia" w:ascii="宋体" w:hAnsi="宋体" w:eastAsia="宋体" w:cs="宋体"/>
                <w:b w:val="0"/>
                <w:bCs w:val="0"/>
                <w:lang w:val="en-US" w:eastAsia="zh-CN"/>
              </w:rPr>
              <w:t>二、</w:t>
            </w:r>
          </w:p>
        </w:tc>
        <w:tc>
          <w:tcPr>
            <w:tcW w:w="7058" w:type="dxa"/>
            <w:vAlign w:val="center"/>
          </w:tcPr>
          <w:p>
            <w:pPr>
              <w:spacing w:after="0" w:line="240" w:lineRule="auto"/>
              <w:jc w:val="center"/>
              <w:rPr>
                <w:rFonts w:hint="eastAsia" w:ascii="宋体" w:hAnsi="宋体" w:eastAsia="宋体" w:cs="宋体"/>
                <w:b w:val="0"/>
                <w:bCs w:val="0"/>
                <w:lang w:val="en-US" w:eastAsia="zh-CN"/>
              </w:rPr>
            </w:pPr>
            <w:r>
              <w:rPr>
                <w:rFonts w:hint="eastAsia" w:ascii="宋体" w:hAnsi="宋体" w:eastAsia="宋体" w:cs="宋体"/>
                <w:b w:val="0"/>
                <w:bCs w:val="0"/>
              </w:rPr>
              <w:t>荧光染色液</w:t>
            </w:r>
            <w:r>
              <w:rPr>
                <w:rFonts w:hint="eastAsia" w:ascii="宋体" w:hAnsi="宋体" w:eastAsia="宋体" w:cs="宋体"/>
                <w:b w:val="0"/>
                <w:bCs w:val="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1689" w:type="dxa"/>
            <w:vAlign w:val="center"/>
          </w:tcPr>
          <w:p>
            <w:pPr>
              <w:spacing w:after="0" w:line="240" w:lineRule="auto"/>
              <w:jc w:val="center"/>
              <w:rPr>
                <w:rFonts w:hint="eastAsia" w:ascii="宋体" w:hAnsi="宋体" w:eastAsia="宋体" w:cs="宋体"/>
                <w:b w:val="0"/>
                <w:bCs w:val="0"/>
              </w:rPr>
            </w:pPr>
            <w:r>
              <w:rPr>
                <w:rFonts w:hint="eastAsia" w:ascii="宋体" w:hAnsi="宋体" w:eastAsia="宋体" w:cs="宋体"/>
                <w:b w:val="0"/>
                <w:bCs w:val="0"/>
              </w:rPr>
              <w:t>主要组成成分</w:t>
            </w:r>
          </w:p>
        </w:tc>
        <w:tc>
          <w:tcPr>
            <w:tcW w:w="7058" w:type="dxa"/>
            <w:vAlign w:val="center"/>
          </w:tcPr>
          <w:p>
            <w:pPr>
              <w:spacing w:after="0" w:line="240" w:lineRule="auto"/>
              <w:jc w:val="left"/>
              <w:rPr>
                <w:rFonts w:hint="eastAsia" w:ascii="宋体" w:hAnsi="宋体" w:eastAsia="宋体" w:cs="宋体"/>
                <w:b w:val="0"/>
                <w:bCs w:val="0"/>
              </w:rPr>
            </w:pPr>
            <w:r>
              <w:rPr>
                <w:rFonts w:hint="eastAsia" w:ascii="宋体" w:hAnsi="宋体" w:eastAsia="宋体" w:cs="宋体"/>
                <w:b w:val="0"/>
                <w:bCs w:val="0"/>
              </w:rPr>
              <w:t>荧光染料(多甲藻黄素-叶绿素-蛋白质复合物，PerCP)、乙酸、乙酸钠、甲基绿、防腐剂(Proclin300)、纯化水。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689" w:type="dxa"/>
            <w:vAlign w:val="center"/>
          </w:tcPr>
          <w:p>
            <w:pPr>
              <w:spacing w:after="0" w:line="240" w:lineRule="auto"/>
              <w:jc w:val="center"/>
              <w:rPr>
                <w:rFonts w:hint="eastAsia" w:ascii="宋体" w:hAnsi="宋体" w:eastAsia="宋体" w:cs="宋体"/>
                <w:b w:val="0"/>
                <w:bCs w:val="0"/>
              </w:rPr>
            </w:pPr>
            <w:r>
              <w:rPr>
                <w:rFonts w:hint="eastAsia" w:ascii="宋体" w:hAnsi="宋体" w:eastAsia="宋体" w:cs="宋体"/>
                <w:b w:val="0"/>
                <w:bCs w:val="0"/>
              </w:rPr>
              <w:t>有效期</w:t>
            </w:r>
          </w:p>
        </w:tc>
        <w:tc>
          <w:tcPr>
            <w:tcW w:w="7058" w:type="dxa"/>
            <w:vAlign w:val="center"/>
          </w:tcPr>
          <w:p>
            <w:pPr>
              <w:spacing w:after="0" w:line="240" w:lineRule="auto"/>
              <w:jc w:val="left"/>
              <w:rPr>
                <w:rFonts w:hint="eastAsia" w:ascii="宋体" w:hAnsi="宋体" w:eastAsia="宋体" w:cs="宋体"/>
                <w:b w:val="0"/>
                <w:bCs w:val="0"/>
              </w:rPr>
            </w:pPr>
            <w:r>
              <w:rPr>
                <w:rFonts w:hint="eastAsia" w:ascii="宋体" w:hAnsi="宋体" w:eastAsia="宋体" w:cs="宋体"/>
                <w:b w:val="0"/>
                <w:bCs w:val="0"/>
              </w:rPr>
              <w:t>有效期</w:t>
            </w:r>
            <w:r>
              <w:rPr>
                <w:rFonts w:hint="eastAsia" w:ascii="宋体" w:hAnsi="宋体" w:eastAsia="宋体" w:cs="宋体"/>
                <w:b w:val="0"/>
                <w:bCs w:val="0"/>
                <w:lang w:val="en-US" w:eastAsia="zh-CN"/>
              </w:rPr>
              <w:t>≥</w:t>
            </w:r>
            <w:r>
              <w:rPr>
                <w:rFonts w:hint="eastAsia" w:ascii="宋体" w:hAnsi="宋体" w:eastAsia="宋体" w:cs="宋体"/>
                <w:b w:val="0"/>
                <w:bCs w:val="0"/>
              </w:rPr>
              <w:t>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689" w:type="dxa"/>
            <w:vAlign w:val="center"/>
          </w:tcPr>
          <w:p>
            <w:pPr>
              <w:spacing w:after="0" w:line="240" w:lineRule="auto"/>
              <w:jc w:val="center"/>
              <w:rPr>
                <w:rFonts w:hint="eastAsia" w:ascii="宋体" w:hAnsi="宋体" w:eastAsia="宋体" w:cs="宋体"/>
                <w:b w:val="0"/>
                <w:bCs w:val="0"/>
              </w:rPr>
            </w:pPr>
            <w:r>
              <w:rPr>
                <w:rFonts w:hint="eastAsia" w:ascii="宋体" w:hAnsi="宋体" w:eastAsia="宋体" w:cs="宋体"/>
                <w:b w:val="0"/>
                <w:bCs w:val="0"/>
              </w:rPr>
              <w:t>用途</w:t>
            </w:r>
          </w:p>
        </w:tc>
        <w:tc>
          <w:tcPr>
            <w:tcW w:w="7058" w:type="dxa"/>
            <w:vAlign w:val="center"/>
          </w:tcPr>
          <w:p>
            <w:pPr>
              <w:spacing w:after="0" w:line="240" w:lineRule="auto"/>
              <w:jc w:val="left"/>
              <w:rPr>
                <w:rFonts w:hint="eastAsia" w:ascii="宋体" w:hAnsi="宋体" w:eastAsia="宋体" w:cs="宋体"/>
                <w:b w:val="0"/>
                <w:bCs w:val="0"/>
              </w:rPr>
            </w:pPr>
            <w:r>
              <w:rPr>
                <w:rFonts w:hint="eastAsia" w:ascii="宋体" w:hAnsi="宋体" w:eastAsia="宋体" w:cs="宋体"/>
                <w:b w:val="0"/>
                <w:bCs w:val="0"/>
              </w:rPr>
              <w:t>样本处理用产品，用于阴道分泌物样本的荧光染色。</w:t>
            </w:r>
          </w:p>
        </w:tc>
      </w:tr>
    </w:tbl>
    <w:p>
      <w:pPr>
        <w:pStyle w:val="18"/>
        <w:numPr>
          <w:ilvl w:val="0"/>
          <w:numId w:val="0"/>
        </w:numPr>
        <w:spacing w:line="360" w:lineRule="auto"/>
        <w:ind w:leftChars="0"/>
        <w:rPr>
          <w:rFonts w:hint="eastAsia" w:ascii="宋体" w:hAnsi="宋体" w:eastAsia="宋体" w:cs="宋体"/>
          <w:sz w:val="24"/>
          <w:szCs w:val="24"/>
          <w:lang w:val="en-US" w:eastAsia="zh-CN"/>
        </w:rPr>
      </w:pP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numPr>
          <w:ilvl w:val="0"/>
          <w:numId w:val="0"/>
        </w:numPr>
        <w:spacing w:line="360" w:lineRule="auto"/>
        <w:ind w:leftChars="0"/>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pgBorders>
            <w:top w:val="none" w:sz="0" w:space="0"/>
            <w:left w:val="none" w:sz="0" w:space="0"/>
            <w:bottom w:val="none" w:sz="0" w:space="0"/>
            <w:right w:val="none" w:sz="0" w:space="0"/>
          </w:pgBorders>
          <w:cols w:space="425" w:num="1"/>
        </w:sectPr>
      </w:pPr>
      <w:r>
        <w:rPr>
          <w:rFonts w:hint="eastAsia" w:ascii="宋体" w:hAnsi="宋体" w:eastAsia="宋体" w:cs="Times New Roman"/>
          <w:sz w:val="24"/>
          <w:szCs w:val="20"/>
        </w:rPr>
        <w:t>公章：_______________________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72">
    <w:altName w:val="Segoe Print"/>
    <w:panose1 w:val="00000000000000000000"/>
    <w:charset w:val="00"/>
    <w:family w:val="auto"/>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1">
    <w:nsid w:val="B4BEB4AB"/>
    <w:multiLevelType w:val="singleLevel"/>
    <w:tmpl w:val="B4BEB4AB"/>
    <w:lvl w:ilvl="0" w:tentative="0">
      <w:start w:val="1"/>
      <w:numFmt w:val="chineseCounting"/>
      <w:suff w:val="nothing"/>
      <w:lvlText w:val="%1、"/>
      <w:lvlJc w:val="left"/>
      <w:pPr>
        <w:ind w:left="-420" w:firstLine="420"/>
      </w:pPr>
      <w:rPr>
        <w:rFonts w:hint="eastAsia"/>
        <w:b w:val="0"/>
        <w:bCs w:val="0"/>
      </w:rPr>
    </w:lvl>
  </w:abstractNum>
  <w:abstractNum w:abstractNumId="2">
    <w:nsid w:val="CD42E90B"/>
    <w:multiLevelType w:val="singleLevel"/>
    <w:tmpl w:val="CD42E90B"/>
    <w:lvl w:ilvl="0" w:tentative="0">
      <w:start w:val="2"/>
      <w:numFmt w:val="decimal"/>
      <w:suff w:val="nothing"/>
      <w:lvlText w:val="（%1）"/>
      <w:lvlJc w:val="left"/>
    </w:lvl>
  </w:abstractNum>
  <w:abstractNum w:abstractNumId="3">
    <w:nsid w:val="D6EC69DB"/>
    <w:multiLevelType w:val="singleLevel"/>
    <w:tmpl w:val="D6EC69DB"/>
    <w:lvl w:ilvl="0" w:tentative="0">
      <w:start w:val="1"/>
      <w:numFmt w:val="decimal"/>
      <w:lvlText w:val="%1、"/>
      <w:lvlJc w:val="left"/>
      <w:pPr>
        <w:ind w:left="425" w:hanging="425"/>
      </w:pPr>
      <w:rPr>
        <w:rFonts w:ascii="宋体" w:hAnsi="宋体" w:eastAsia="宋体" w:cs="Times New Roman"/>
      </w:rPr>
    </w:lvl>
  </w:abstractNum>
  <w:abstractNum w:abstractNumId="4">
    <w:nsid w:val="D94F0F54"/>
    <w:multiLevelType w:val="singleLevel"/>
    <w:tmpl w:val="D94F0F54"/>
    <w:lvl w:ilvl="0" w:tentative="0">
      <w:start w:val="1"/>
      <w:numFmt w:val="chineseCounting"/>
      <w:suff w:val="nothing"/>
      <w:lvlText w:val="%1、"/>
      <w:lvlJc w:val="left"/>
      <w:pPr>
        <w:ind w:left="-420" w:firstLine="420"/>
      </w:pPr>
      <w:rPr>
        <w:rFonts w:hint="eastAsia"/>
        <w:b w:val="0"/>
        <w:bCs w:val="0"/>
      </w:rPr>
    </w:lvl>
  </w:abstractNum>
  <w:abstractNum w:abstractNumId="5">
    <w:nsid w:val="E380AD4C"/>
    <w:multiLevelType w:val="singleLevel"/>
    <w:tmpl w:val="E380AD4C"/>
    <w:lvl w:ilvl="0" w:tentative="0">
      <w:start w:val="1"/>
      <w:numFmt w:val="chineseCounting"/>
      <w:suff w:val="nothing"/>
      <w:lvlText w:val="%1、"/>
      <w:lvlJc w:val="left"/>
      <w:pPr>
        <w:ind w:left="-420" w:firstLine="420"/>
      </w:pPr>
      <w:rPr>
        <w:rFonts w:hint="eastAsia"/>
        <w:b w:val="0"/>
        <w:bCs w:val="0"/>
      </w:rPr>
    </w:lvl>
  </w:abstractNum>
  <w:abstractNum w:abstractNumId="6">
    <w:nsid w:val="F1FBE7E4"/>
    <w:multiLevelType w:val="singleLevel"/>
    <w:tmpl w:val="F1FBE7E4"/>
    <w:lvl w:ilvl="0" w:tentative="0">
      <w:start w:val="1"/>
      <w:numFmt w:val="chineseCounting"/>
      <w:suff w:val="nothing"/>
      <w:lvlText w:val="%1、"/>
      <w:lvlJc w:val="left"/>
      <w:pPr>
        <w:ind w:left="-420" w:firstLine="420"/>
      </w:pPr>
      <w:rPr>
        <w:rFonts w:hint="eastAsia"/>
        <w:b w:val="0"/>
        <w:bCs w:val="0"/>
      </w:rPr>
    </w:lvl>
  </w:abstractNum>
  <w:abstractNum w:abstractNumId="7">
    <w:nsid w:val="037DAD23"/>
    <w:multiLevelType w:val="singleLevel"/>
    <w:tmpl w:val="037DAD23"/>
    <w:lvl w:ilvl="0" w:tentative="0">
      <w:start w:val="1"/>
      <w:numFmt w:val="decimal"/>
      <w:suff w:val="nothing"/>
      <w:lvlText w:val="%1、"/>
      <w:lvlJc w:val="left"/>
    </w:lvl>
  </w:abstractNum>
  <w:abstractNum w:abstractNumId="8">
    <w:nsid w:val="10FC1BE1"/>
    <w:multiLevelType w:val="singleLevel"/>
    <w:tmpl w:val="10FC1BE1"/>
    <w:lvl w:ilvl="0" w:tentative="0">
      <w:start w:val="1"/>
      <w:numFmt w:val="chineseCounting"/>
      <w:suff w:val="nothing"/>
      <w:lvlText w:val="%1、"/>
      <w:lvlJc w:val="left"/>
      <w:pPr>
        <w:ind w:left="-420" w:firstLine="420"/>
      </w:pPr>
      <w:rPr>
        <w:rFonts w:hint="eastAsia"/>
        <w:b w:val="0"/>
        <w:bCs w:val="0"/>
      </w:rPr>
    </w:lvl>
  </w:abstractNum>
  <w:abstractNum w:abstractNumId="9">
    <w:nsid w:val="11F24991"/>
    <w:multiLevelType w:val="singleLevel"/>
    <w:tmpl w:val="11F24991"/>
    <w:lvl w:ilvl="0" w:tentative="0">
      <w:start w:val="1"/>
      <w:numFmt w:val="chineseCounting"/>
      <w:suff w:val="nothing"/>
      <w:lvlText w:val="%1、"/>
      <w:lvlJc w:val="left"/>
      <w:pPr>
        <w:ind w:left="-420" w:firstLine="420"/>
      </w:pPr>
      <w:rPr>
        <w:rFonts w:hint="eastAsia"/>
        <w:b w:val="0"/>
        <w:bCs w:val="0"/>
      </w:rPr>
    </w:lvl>
  </w:abstractNum>
  <w:abstractNum w:abstractNumId="10">
    <w:nsid w:val="2382C396"/>
    <w:multiLevelType w:val="singleLevel"/>
    <w:tmpl w:val="2382C396"/>
    <w:lvl w:ilvl="0" w:tentative="0">
      <w:start w:val="1"/>
      <w:numFmt w:val="decimal"/>
      <w:suff w:val="nothing"/>
      <w:lvlText w:val="%1、"/>
      <w:lvlJc w:val="left"/>
    </w:lvl>
  </w:abstractNum>
  <w:abstractNum w:abstractNumId="11">
    <w:nsid w:val="40C04F2A"/>
    <w:multiLevelType w:val="singleLevel"/>
    <w:tmpl w:val="40C04F2A"/>
    <w:lvl w:ilvl="0" w:tentative="0">
      <w:start w:val="1"/>
      <w:numFmt w:val="decimal"/>
      <w:lvlText w:val="%1."/>
      <w:lvlJc w:val="left"/>
      <w:pPr>
        <w:ind w:left="425" w:hanging="425"/>
      </w:pPr>
      <w:rPr>
        <w:rFonts w:hint="default"/>
      </w:rPr>
    </w:lvl>
  </w:abstractNum>
  <w:abstractNum w:abstractNumId="12">
    <w:nsid w:val="52FE4A56"/>
    <w:multiLevelType w:val="singleLevel"/>
    <w:tmpl w:val="52FE4A56"/>
    <w:lvl w:ilvl="0" w:tentative="0">
      <w:start w:val="1"/>
      <w:numFmt w:val="chineseCounting"/>
      <w:suff w:val="nothing"/>
      <w:lvlText w:val="%1、"/>
      <w:lvlJc w:val="left"/>
      <w:pPr>
        <w:ind w:left="-420" w:firstLine="420"/>
      </w:pPr>
      <w:rPr>
        <w:rFonts w:hint="eastAsia"/>
        <w:b w:val="0"/>
        <w:bCs w:val="0"/>
      </w:rPr>
    </w:lvl>
  </w:abstractNum>
  <w:abstractNum w:abstractNumId="13">
    <w:nsid w:val="57FB7DDC"/>
    <w:multiLevelType w:val="multilevel"/>
    <w:tmpl w:val="57FB7DDC"/>
    <w:lvl w:ilvl="0" w:tentative="0">
      <w:start w:val="1"/>
      <w:numFmt w:val="bullet"/>
      <w:pStyle w:val="20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4">
    <w:nsid w:val="5B761839"/>
    <w:multiLevelType w:val="singleLevel"/>
    <w:tmpl w:val="5B761839"/>
    <w:lvl w:ilvl="0" w:tentative="0">
      <w:start w:val="1"/>
      <w:numFmt w:val="decimal"/>
      <w:lvlText w:val="%1."/>
      <w:lvlJc w:val="left"/>
      <w:pPr>
        <w:ind w:left="425" w:hanging="425"/>
      </w:pPr>
      <w:rPr>
        <w:rFonts w:hint="default"/>
      </w:rPr>
    </w:lvl>
  </w:abstractNum>
  <w:abstractNum w:abstractNumId="15">
    <w:nsid w:val="621677EF"/>
    <w:multiLevelType w:val="singleLevel"/>
    <w:tmpl w:val="621677EF"/>
    <w:lvl w:ilvl="0" w:tentative="0">
      <w:start w:val="1"/>
      <w:numFmt w:val="decimal"/>
      <w:lvlText w:val="%1."/>
      <w:lvlJc w:val="left"/>
      <w:pPr>
        <w:tabs>
          <w:tab w:val="left" w:pos="312"/>
        </w:tabs>
      </w:pPr>
    </w:lvl>
  </w:abstractNum>
  <w:abstractNum w:abstractNumId="16">
    <w:nsid w:val="762A6DF2"/>
    <w:multiLevelType w:val="singleLevel"/>
    <w:tmpl w:val="762A6DF2"/>
    <w:lvl w:ilvl="0" w:tentative="0">
      <w:start w:val="1"/>
      <w:numFmt w:val="chineseCounting"/>
      <w:suff w:val="nothing"/>
      <w:lvlText w:val="%1、"/>
      <w:lvlJc w:val="left"/>
      <w:pPr>
        <w:ind w:left="-420" w:firstLine="420"/>
      </w:pPr>
      <w:rPr>
        <w:rFonts w:hint="eastAsia"/>
        <w:b w:val="0"/>
        <w:bCs w:val="0"/>
      </w:rPr>
    </w:lvl>
  </w:abstractNum>
  <w:num w:numId="1">
    <w:abstractNumId w:val="13"/>
  </w:num>
  <w:num w:numId="2">
    <w:abstractNumId w:val="2"/>
  </w:num>
  <w:num w:numId="3">
    <w:abstractNumId w:val="0"/>
  </w:num>
  <w:num w:numId="4">
    <w:abstractNumId w:val="1"/>
  </w:num>
  <w:num w:numId="5">
    <w:abstractNumId w:val="3"/>
  </w:num>
  <w:num w:numId="6">
    <w:abstractNumId w:val="6"/>
  </w:num>
  <w:num w:numId="7">
    <w:abstractNumId w:val="8"/>
  </w:num>
  <w:num w:numId="8">
    <w:abstractNumId w:val="14"/>
  </w:num>
  <w:num w:numId="9">
    <w:abstractNumId w:val="5"/>
  </w:num>
  <w:num w:numId="10">
    <w:abstractNumId w:val="15"/>
  </w:num>
  <w:num w:numId="11">
    <w:abstractNumId w:val="4"/>
  </w:num>
  <w:num w:numId="12">
    <w:abstractNumId w:val="7"/>
  </w:num>
  <w:num w:numId="13">
    <w:abstractNumId w:val="12"/>
  </w:num>
  <w:num w:numId="14">
    <w:abstractNumId w:val="11"/>
  </w:num>
  <w:num w:numId="15">
    <w:abstractNumId w:val="9"/>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wZWVhNGNiN2Q0NGQxYTM5NDI5ZjE1NmI5N2I5NGYifQ=="/>
  </w:docVars>
  <w:rsids>
    <w:rsidRoot w:val="002264AA"/>
    <w:rsid w:val="00011506"/>
    <w:rsid w:val="000125C7"/>
    <w:rsid w:val="00017F08"/>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520D2"/>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2E69FA"/>
    <w:rsid w:val="015A163A"/>
    <w:rsid w:val="01DA343F"/>
    <w:rsid w:val="03152A45"/>
    <w:rsid w:val="037F0B26"/>
    <w:rsid w:val="051C4C02"/>
    <w:rsid w:val="05333456"/>
    <w:rsid w:val="059503E5"/>
    <w:rsid w:val="05A21A3D"/>
    <w:rsid w:val="05D709B3"/>
    <w:rsid w:val="06710E08"/>
    <w:rsid w:val="06826B71"/>
    <w:rsid w:val="07C20BED"/>
    <w:rsid w:val="08FD6983"/>
    <w:rsid w:val="09EE3807"/>
    <w:rsid w:val="0A7753AE"/>
    <w:rsid w:val="0AF338CE"/>
    <w:rsid w:val="0BDF2CAF"/>
    <w:rsid w:val="0BF00DA4"/>
    <w:rsid w:val="0EAE2CA8"/>
    <w:rsid w:val="0EEA6FBA"/>
    <w:rsid w:val="0EF02652"/>
    <w:rsid w:val="0F0C212E"/>
    <w:rsid w:val="0FFD6BE5"/>
    <w:rsid w:val="108822C7"/>
    <w:rsid w:val="126A0881"/>
    <w:rsid w:val="129544B2"/>
    <w:rsid w:val="139C0D9D"/>
    <w:rsid w:val="13BB3FAB"/>
    <w:rsid w:val="13E44EDE"/>
    <w:rsid w:val="18B76B4E"/>
    <w:rsid w:val="19530D66"/>
    <w:rsid w:val="196A4DA8"/>
    <w:rsid w:val="19BC5BE6"/>
    <w:rsid w:val="19DC576F"/>
    <w:rsid w:val="1A355C22"/>
    <w:rsid w:val="1A5F06D7"/>
    <w:rsid w:val="1A7B1DFD"/>
    <w:rsid w:val="1ACC1559"/>
    <w:rsid w:val="1B09545F"/>
    <w:rsid w:val="1C7C757C"/>
    <w:rsid w:val="1CF2158A"/>
    <w:rsid w:val="1DBB4EF2"/>
    <w:rsid w:val="1DBC650F"/>
    <w:rsid w:val="1E1B0F42"/>
    <w:rsid w:val="1E4F1A12"/>
    <w:rsid w:val="1E6E1433"/>
    <w:rsid w:val="206F557C"/>
    <w:rsid w:val="21546AEE"/>
    <w:rsid w:val="21CA6472"/>
    <w:rsid w:val="22AA393E"/>
    <w:rsid w:val="23276141"/>
    <w:rsid w:val="23F2414E"/>
    <w:rsid w:val="2411348B"/>
    <w:rsid w:val="24161FB7"/>
    <w:rsid w:val="2458229A"/>
    <w:rsid w:val="2464469F"/>
    <w:rsid w:val="24C25007"/>
    <w:rsid w:val="25043F40"/>
    <w:rsid w:val="25ED784B"/>
    <w:rsid w:val="25F11009"/>
    <w:rsid w:val="262A7ACF"/>
    <w:rsid w:val="266F0A68"/>
    <w:rsid w:val="271D349F"/>
    <w:rsid w:val="277C62E7"/>
    <w:rsid w:val="2AF93139"/>
    <w:rsid w:val="2B2963D3"/>
    <w:rsid w:val="2BD61E29"/>
    <w:rsid w:val="2D3628CB"/>
    <w:rsid w:val="2E095F27"/>
    <w:rsid w:val="2E287082"/>
    <w:rsid w:val="2E5C3FC8"/>
    <w:rsid w:val="2E6E18BF"/>
    <w:rsid w:val="2E884201"/>
    <w:rsid w:val="2F233B10"/>
    <w:rsid w:val="2F2C5770"/>
    <w:rsid w:val="2F535254"/>
    <w:rsid w:val="2F8A4D47"/>
    <w:rsid w:val="315E1161"/>
    <w:rsid w:val="31B27269"/>
    <w:rsid w:val="31C06C2B"/>
    <w:rsid w:val="32725D0C"/>
    <w:rsid w:val="331367BC"/>
    <w:rsid w:val="33B23A15"/>
    <w:rsid w:val="33F90104"/>
    <w:rsid w:val="34EE008B"/>
    <w:rsid w:val="35173EF4"/>
    <w:rsid w:val="352B33FC"/>
    <w:rsid w:val="35805CB4"/>
    <w:rsid w:val="36550770"/>
    <w:rsid w:val="36CA3141"/>
    <w:rsid w:val="37B458FA"/>
    <w:rsid w:val="37C130EE"/>
    <w:rsid w:val="38593614"/>
    <w:rsid w:val="39301A51"/>
    <w:rsid w:val="3962419B"/>
    <w:rsid w:val="3A4103F8"/>
    <w:rsid w:val="3B4D2F6C"/>
    <w:rsid w:val="3B6F4ECC"/>
    <w:rsid w:val="3BF15DAC"/>
    <w:rsid w:val="3C912E01"/>
    <w:rsid w:val="3D3325E2"/>
    <w:rsid w:val="3D6A45ED"/>
    <w:rsid w:val="3DA4759C"/>
    <w:rsid w:val="3DFE745B"/>
    <w:rsid w:val="3E2B711B"/>
    <w:rsid w:val="3E2D1012"/>
    <w:rsid w:val="3E48145F"/>
    <w:rsid w:val="3F734081"/>
    <w:rsid w:val="409018AF"/>
    <w:rsid w:val="40D257E7"/>
    <w:rsid w:val="40E94034"/>
    <w:rsid w:val="412709D8"/>
    <w:rsid w:val="41627833"/>
    <w:rsid w:val="416D419A"/>
    <w:rsid w:val="41E34CF4"/>
    <w:rsid w:val="421443FB"/>
    <w:rsid w:val="427239F0"/>
    <w:rsid w:val="433472CD"/>
    <w:rsid w:val="43426C26"/>
    <w:rsid w:val="434E7278"/>
    <w:rsid w:val="44C60E76"/>
    <w:rsid w:val="44E76487"/>
    <w:rsid w:val="4535060E"/>
    <w:rsid w:val="469B3D4F"/>
    <w:rsid w:val="469F284C"/>
    <w:rsid w:val="473A03ED"/>
    <w:rsid w:val="48000069"/>
    <w:rsid w:val="49565B7D"/>
    <w:rsid w:val="49B25227"/>
    <w:rsid w:val="4B863339"/>
    <w:rsid w:val="4BA42333"/>
    <w:rsid w:val="4CEE1CF2"/>
    <w:rsid w:val="4D25098E"/>
    <w:rsid w:val="4D77632F"/>
    <w:rsid w:val="4D8F310F"/>
    <w:rsid w:val="4DB0533F"/>
    <w:rsid w:val="4DDC66FE"/>
    <w:rsid w:val="4E7C3473"/>
    <w:rsid w:val="4FB81DC2"/>
    <w:rsid w:val="501778F7"/>
    <w:rsid w:val="50CF0D56"/>
    <w:rsid w:val="516C6AB8"/>
    <w:rsid w:val="51E8779D"/>
    <w:rsid w:val="52C021AE"/>
    <w:rsid w:val="533613EF"/>
    <w:rsid w:val="5371335C"/>
    <w:rsid w:val="5389510F"/>
    <w:rsid w:val="544D38E7"/>
    <w:rsid w:val="54643684"/>
    <w:rsid w:val="54BD39A2"/>
    <w:rsid w:val="55224D7B"/>
    <w:rsid w:val="557863A7"/>
    <w:rsid w:val="56E97E3E"/>
    <w:rsid w:val="570E7256"/>
    <w:rsid w:val="59A549DC"/>
    <w:rsid w:val="5A825D4E"/>
    <w:rsid w:val="5BB838A1"/>
    <w:rsid w:val="5CA61950"/>
    <w:rsid w:val="5CDE5CFF"/>
    <w:rsid w:val="5CF501E7"/>
    <w:rsid w:val="5E4E4400"/>
    <w:rsid w:val="5E5E67D4"/>
    <w:rsid w:val="5EAC2763"/>
    <w:rsid w:val="60BA47AE"/>
    <w:rsid w:val="61E26848"/>
    <w:rsid w:val="63B05371"/>
    <w:rsid w:val="63D92820"/>
    <w:rsid w:val="63E1229E"/>
    <w:rsid w:val="64917820"/>
    <w:rsid w:val="6688474A"/>
    <w:rsid w:val="66B670BA"/>
    <w:rsid w:val="670D5963"/>
    <w:rsid w:val="67411EF2"/>
    <w:rsid w:val="67562AAF"/>
    <w:rsid w:val="67C41429"/>
    <w:rsid w:val="684E60CA"/>
    <w:rsid w:val="685F15E7"/>
    <w:rsid w:val="6867089A"/>
    <w:rsid w:val="690540BF"/>
    <w:rsid w:val="698653EA"/>
    <w:rsid w:val="698F11EF"/>
    <w:rsid w:val="699B0761"/>
    <w:rsid w:val="69BE7719"/>
    <w:rsid w:val="6A0856B9"/>
    <w:rsid w:val="6A664098"/>
    <w:rsid w:val="6AD43DDA"/>
    <w:rsid w:val="6BB07235"/>
    <w:rsid w:val="6BCB7ABB"/>
    <w:rsid w:val="6C146FEA"/>
    <w:rsid w:val="6CE12E64"/>
    <w:rsid w:val="6CEA0C57"/>
    <w:rsid w:val="6D024D8C"/>
    <w:rsid w:val="6E5E1F70"/>
    <w:rsid w:val="6ECC7A0D"/>
    <w:rsid w:val="706B18B9"/>
    <w:rsid w:val="709F0097"/>
    <w:rsid w:val="70EA395C"/>
    <w:rsid w:val="71C45194"/>
    <w:rsid w:val="71C64881"/>
    <w:rsid w:val="735B1691"/>
    <w:rsid w:val="7397006E"/>
    <w:rsid w:val="740D6797"/>
    <w:rsid w:val="748B756C"/>
    <w:rsid w:val="75CC49D7"/>
    <w:rsid w:val="76466098"/>
    <w:rsid w:val="76C539AC"/>
    <w:rsid w:val="77C35AEB"/>
    <w:rsid w:val="77FC6E05"/>
    <w:rsid w:val="789E738C"/>
    <w:rsid w:val="79715BD1"/>
    <w:rsid w:val="7A5944E4"/>
    <w:rsid w:val="7B983999"/>
    <w:rsid w:val="7C3A20F4"/>
    <w:rsid w:val="7C514E63"/>
    <w:rsid w:val="7CA25B04"/>
    <w:rsid w:val="7D2F5BB7"/>
    <w:rsid w:val="7DD03920"/>
    <w:rsid w:val="7DF33D62"/>
    <w:rsid w:val="7ED9015B"/>
    <w:rsid w:val="7F356D4B"/>
    <w:rsid w:val="7F6C6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3"/>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4"/>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5"/>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6"/>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8"/>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50"/>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51"/>
    <w:qFormat/>
    <w:uiPriority w:val="0"/>
    <w:pPr>
      <w:keepNext/>
      <w:keepLines/>
      <w:spacing w:before="240" w:after="64" w:line="320" w:lineRule="auto"/>
      <w:outlineLvl w:val="8"/>
    </w:pPr>
    <w:rPr>
      <w:rFonts w:ascii="Arial" w:hAnsi="Arial" w:eastAsia="黑体" w:cs="Times New Roman"/>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4"/>
    <w:qFormat/>
    <w:uiPriority w:val="0"/>
    <w:rPr>
      <w:rFonts w:ascii="宋体" w:hAnsi="Times New Roman" w:eastAsia="宋体" w:cs="Times New Roman"/>
      <w:sz w:val="18"/>
      <w:szCs w:val="18"/>
    </w:rPr>
  </w:style>
  <w:style w:type="paragraph" w:styleId="13">
    <w:name w:val="annotation text"/>
    <w:basedOn w:val="1"/>
    <w:link w:val="127"/>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7"/>
    <w:qFormat/>
    <w:uiPriority w:val="0"/>
    <w:rPr>
      <w:rFonts w:ascii="Times New Roman" w:hAnsi="Times New Roman" w:eastAsia="宋体" w:cs="Times New Roman"/>
      <w:sz w:val="48"/>
      <w:szCs w:val="48"/>
    </w:rPr>
  </w:style>
  <w:style w:type="paragraph" w:styleId="15">
    <w:name w:val="Body Text"/>
    <w:basedOn w:val="1"/>
    <w:link w:val="104"/>
    <w:qFormat/>
    <w:uiPriority w:val="0"/>
    <w:pPr>
      <w:spacing w:after="120"/>
    </w:pPr>
    <w:rPr>
      <w:rFonts w:ascii="Times New Roman" w:hAnsi="Times New Roman" w:eastAsia="宋体" w:cs="Times New Roman"/>
      <w:szCs w:val="20"/>
    </w:rPr>
  </w:style>
  <w:style w:type="paragraph" w:styleId="16">
    <w:name w:val="Body Text Indent"/>
    <w:basedOn w:val="1"/>
    <w:link w:val="105"/>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3"/>
    <w:qFormat/>
    <w:uiPriority w:val="0"/>
    <w:rPr>
      <w:rFonts w:ascii="宋体" w:hAnsi="Courier New" w:eastAsia="宋体" w:cs="Times New Roman"/>
      <w:szCs w:val="20"/>
    </w:rPr>
  </w:style>
  <w:style w:type="paragraph" w:styleId="19">
    <w:name w:val="Date"/>
    <w:basedOn w:val="1"/>
    <w:next w:val="1"/>
    <w:link w:val="54"/>
    <w:qFormat/>
    <w:uiPriority w:val="0"/>
    <w:rPr>
      <w:rFonts w:ascii="宋体" w:hAnsi="Times New Roman" w:eastAsia="宋体" w:cs="Times New Roman"/>
      <w:b/>
      <w:sz w:val="36"/>
      <w:szCs w:val="20"/>
    </w:rPr>
  </w:style>
  <w:style w:type="paragraph" w:styleId="20">
    <w:name w:val="Body Text Indent 2"/>
    <w:basedOn w:val="1"/>
    <w:link w:val="111"/>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2"/>
    <w:semiHidden/>
    <w:qFormat/>
    <w:uiPriority w:val="0"/>
    <w:rPr>
      <w:rFonts w:ascii="Times New Roman" w:hAnsi="Times New Roman" w:eastAsia="宋体" w:cs="Times New Roman"/>
      <w:sz w:val="18"/>
      <w:szCs w:val="18"/>
    </w:rPr>
  </w:style>
  <w:style w:type="paragraph" w:styleId="22">
    <w:name w:val="footer"/>
    <w:basedOn w:val="1"/>
    <w:link w:val="42"/>
    <w:unhideWhenUsed/>
    <w:qFormat/>
    <w:uiPriority w:val="99"/>
    <w:pPr>
      <w:tabs>
        <w:tab w:val="center" w:pos="4153"/>
        <w:tab w:val="right" w:pos="8306"/>
      </w:tabs>
      <w:snapToGrid w:val="0"/>
      <w:jc w:val="left"/>
    </w:pPr>
    <w:rPr>
      <w:sz w:val="18"/>
      <w:szCs w:val="18"/>
    </w:rPr>
  </w:style>
  <w:style w:type="paragraph" w:styleId="23">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6"/>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3"/>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7"/>
    <w:qFormat/>
    <w:uiPriority w:val="0"/>
    <w:pPr>
      <w:jc w:val="center"/>
    </w:pPr>
    <w:rPr>
      <w:rFonts w:ascii="楷体_GB2312" w:hAnsi="Times New Roman" w:eastAsia="楷体_GB2312" w:cs="Times New Roman"/>
      <w:b/>
      <w:sz w:val="72"/>
      <w:szCs w:val="20"/>
    </w:rPr>
  </w:style>
  <w:style w:type="paragraph" w:styleId="28">
    <w:name w:val="HTML Preformatted"/>
    <w:basedOn w:val="1"/>
    <w:link w:val="20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Normal (Web)"/>
    <w:basedOn w:val="1"/>
    <w:qFormat/>
    <w:uiPriority w:val="0"/>
    <w:rPr>
      <w:sz w:val="24"/>
    </w:rPr>
  </w:style>
  <w:style w:type="paragraph" w:styleId="30">
    <w:name w:val="Title"/>
    <w:basedOn w:val="1"/>
    <w:link w:val="134"/>
    <w:qFormat/>
    <w:uiPriority w:val="0"/>
    <w:pPr>
      <w:spacing w:before="240" w:after="60"/>
      <w:jc w:val="center"/>
      <w:outlineLvl w:val="0"/>
    </w:pPr>
    <w:rPr>
      <w:rFonts w:ascii="Arial" w:hAnsi="Arial" w:eastAsia="黑体" w:cs="Times New Roman"/>
      <w:b/>
      <w:sz w:val="36"/>
      <w:szCs w:val="20"/>
    </w:rPr>
  </w:style>
  <w:style w:type="paragraph" w:styleId="31">
    <w:name w:val="annotation subject"/>
    <w:basedOn w:val="13"/>
    <w:next w:val="13"/>
    <w:link w:val="178"/>
    <w:qFormat/>
    <w:uiPriority w:val="0"/>
    <w:pPr>
      <w:adjustRightInd/>
      <w:spacing w:line="240" w:lineRule="auto"/>
      <w:textAlignment w:val="auto"/>
    </w:pPr>
    <w:rPr>
      <w:b/>
      <w:bCs/>
      <w:kern w:val="2"/>
      <w:sz w:val="21"/>
      <w:szCs w:val="24"/>
    </w:rPr>
  </w:style>
  <w:style w:type="table" w:styleId="33">
    <w:name w:val="Table Grid"/>
    <w:basedOn w:val="32"/>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35">
    <w:name w:val="Strong"/>
    <w:qFormat/>
    <w:uiPriority w:val="0"/>
    <w:rPr>
      <w:b/>
    </w:rPr>
  </w:style>
  <w:style w:type="character" w:styleId="36">
    <w:name w:val="page number"/>
    <w:basedOn w:val="34"/>
    <w:qFormat/>
    <w:uiPriority w:val="0"/>
  </w:style>
  <w:style w:type="character" w:styleId="37">
    <w:name w:val="FollowedHyperlink"/>
    <w:basedOn w:val="34"/>
    <w:semiHidden/>
    <w:unhideWhenUsed/>
    <w:qFormat/>
    <w:uiPriority w:val="99"/>
    <w:rPr>
      <w:color w:val="954F72" w:themeColor="followedHyperlink"/>
      <w:u w:val="single"/>
      <w14:textFill>
        <w14:solidFill>
          <w14:schemeClr w14:val="folHlink"/>
        </w14:solidFill>
      </w14:textFill>
    </w:rPr>
  </w:style>
  <w:style w:type="character" w:styleId="38">
    <w:name w:val="Emphasis"/>
    <w:basedOn w:val="34"/>
    <w:qFormat/>
    <w:uiPriority w:val="20"/>
    <w:rPr>
      <w:i/>
    </w:rPr>
  </w:style>
  <w:style w:type="character" w:styleId="39">
    <w:name w:val="Hyperlink"/>
    <w:qFormat/>
    <w:uiPriority w:val="0"/>
    <w:rPr>
      <w:color w:val="0000FF"/>
      <w:u w:val="single"/>
    </w:rPr>
  </w:style>
  <w:style w:type="character" w:styleId="40">
    <w:name w:val="annotation reference"/>
    <w:qFormat/>
    <w:uiPriority w:val="0"/>
    <w:rPr>
      <w:sz w:val="21"/>
      <w:szCs w:val="21"/>
    </w:rPr>
  </w:style>
  <w:style w:type="character" w:customStyle="1" w:styleId="41">
    <w:name w:val="页眉 Char1"/>
    <w:basedOn w:val="34"/>
    <w:link w:val="23"/>
    <w:qFormat/>
    <w:uiPriority w:val="99"/>
    <w:rPr>
      <w:sz w:val="18"/>
      <w:szCs w:val="18"/>
    </w:rPr>
  </w:style>
  <w:style w:type="character" w:customStyle="1" w:styleId="42">
    <w:name w:val="页脚 Char1"/>
    <w:basedOn w:val="34"/>
    <w:link w:val="22"/>
    <w:qFormat/>
    <w:uiPriority w:val="99"/>
    <w:rPr>
      <w:sz w:val="18"/>
      <w:szCs w:val="18"/>
    </w:rPr>
  </w:style>
  <w:style w:type="character" w:customStyle="1" w:styleId="43">
    <w:name w:val="标题 1 Char"/>
    <w:basedOn w:val="34"/>
    <w:link w:val="2"/>
    <w:qFormat/>
    <w:uiPriority w:val="0"/>
    <w:rPr>
      <w:rFonts w:ascii="Times New Roman" w:hAnsi="Times New Roman" w:eastAsia="宋体" w:cs="Times New Roman"/>
      <w:b/>
      <w:kern w:val="44"/>
      <w:sz w:val="44"/>
      <w:szCs w:val="20"/>
    </w:rPr>
  </w:style>
  <w:style w:type="character" w:customStyle="1" w:styleId="44">
    <w:name w:val="标题 2 Char"/>
    <w:basedOn w:val="34"/>
    <w:link w:val="3"/>
    <w:qFormat/>
    <w:uiPriority w:val="0"/>
    <w:rPr>
      <w:rFonts w:ascii="Arial" w:hAnsi="Arial" w:eastAsia="黑体" w:cs="Times New Roman"/>
      <w:b/>
      <w:bCs/>
      <w:sz w:val="32"/>
      <w:szCs w:val="32"/>
    </w:rPr>
  </w:style>
  <w:style w:type="character" w:customStyle="1" w:styleId="45">
    <w:name w:val="标题 3 Char"/>
    <w:basedOn w:val="34"/>
    <w:link w:val="4"/>
    <w:qFormat/>
    <w:uiPriority w:val="0"/>
    <w:rPr>
      <w:rFonts w:ascii="Times New Roman" w:hAnsi="Times New Roman" w:eastAsia="宋体" w:cs="Times New Roman"/>
      <w:b/>
      <w:sz w:val="32"/>
      <w:szCs w:val="20"/>
    </w:rPr>
  </w:style>
  <w:style w:type="character" w:customStyle="1" w:styleId="46">
    <w:name w:val="标题 4 Char"/>
    <w:basedOn w:val="34"/>
    <w:link w:val="6"/>
    <w:qFormat/>
    <w:uiPriority w:val="0"/>
    <w:rPr>
      <w:rFonts w:ascii="Arial" w:hAnsi="Arial" w:eastAsia="黑体" w:cs="Times New Roman"/>
      <w:b/>
      <w:bCs/>
      <w:sz w:val="28"/>
      <w:szCs w:val="28"/>
    </w:rPr>
  </w:style>
  <w:style w:type="character" w:customStyle="1" w:styleId="47">
    <w:name w:val="标题 5 Char"/>
    <w:basedOn w:val="34"/>
    <w:link w:val="7"/>
    <w:qFormat/>
    <w:uiPriority w:val="0"/>
    <w:rPr>
      <w:rFonts w:ascii="Times New Roman" w:hAnsi="Times New Roman" w:eastAsia="宋体" w:cs="Times New Roman"/>
      <w:b/>
      <w:bCs/>
      <w:sz w:val="28"/>
      <w:szCs w:val="28"/>
    </w:rPr>
  </w:style>
  <w:style w:type="character" w:customStyle="1" w:styleId="48">
    <w:name w:val="标题 6 Char"/>
    <w:basedOn w:val="34"/>
    <w:link w:val="8"/>
    <w:qFormat/>
    <w:uiPriority w:val="0"/>
    <w:rPr>
      <w:rFonts w:ascii="Arial" w:hAnsi="Arial" w:eastAsia="黑体" w:cs="Times New Roman"/>
      <w:b/>
      <w:bCs/>
      <w:sz w:val="24"/>
      <w:szCs w:val="24"/>
    </w:rPr>
  </w:style>
  <w:style w:type="character" w:customStyle="1" w:styleId="49">
    <w:name w:val="标题 7 Char"/>
    <w:basedOn w:val="34"/>
    <w:link w:val="9"/>
    <w:qFormat/>
    <w:uiPriority w:val="0"/>
    <w:rPr>
      <w:rFonts w:ascii="Times New Roman" w:hAnsi="Times New Roman" w:eastAsia="宋体" w:cs="Times New Roman"/>
      <w:b/>
      <w:bCs/>
      <w:sz w:val="24"/>
      <w:szCs w:val="24"/>
    </w:rPr>
  </w:style>
  <w:style w:type="character" w:customStyle="1" w:styleId="50">
    <w:name w:val="标题 8 Char"/>
    <w:basedOn w:val="34"/>
    <w:link w:val="10"/>
    <w:qFormat/>
    <w:uiPriority w:val="0"/>
    <w:rPr>
      <w:rFonts w:ascii="Arial" w:hAnsi="Arial" w:eastAsia="黑体" w:cs="Times New Roman"/>
      <w:sz w:val="24"/>
      <w:szCs w:val="24"/>
    </w:rPr>
  </w:style>
  <w:style w:type="character" w:customStyle="1" w:styleId="51">
    <w:name w:val="标题 9 Char"/>
    <w:basedOn w:val="34"/>
    <w:link w:val="11"/>
    <w:qFormat/>
    <w:uiPriority w:val="0"/>
    <w:rPr>
      <w:rFonts w:ascii="Arial" w:hAnsi="Arial" w:eastAsia="黑体" w:cs="Times New Roman"/>
      <w:szCs w:val="21"/>
    </w:rPr>
  </w:style>
  <w:style w:type="paragraph" w:customStyle="1" w:styleId="52">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3">
    <w:name w:val="纯文本 Char"/>
    <w:basedOn w:val="34"/>
    <w:link w:val="18"/>
    <w:qFormat/>
    <w:uiPriority w:val="0"/>
    <w:rPr>
      <w:rFonts w:ascii="宋体" w:hAnsi="Courier New" w:eastAsia="宋体" w:cs="Times New Roman"/>
      <w:szCs w:val="20"/>
    </w:rPr>
  </w:style>
  <w:style w:type="character" w:customStyle="1" w:styleId="54">
    <w:name w:val="日期 Char"/>
    <w:basedOn w:val="34"/>
    <w:link w:val="19"/>
    <w:qFormat/>
    <w:uiPriority w:val="0"/>
    <w:rPr>
      <w:rFonts w:ascii="宋体" w:hAnsi="Times New Roman" w:eastAsia="宋体" w:cs="Times New Roman"/>
      <w:b/>
      <w:sz w:val="36"/>
      <w:szCs w:val="20"/>
    </w:rPr>
  </w:style>
  <w:style w:type="paragraph" w:customStyle="1" w:styleId="55">
    <w:name w:val="_Style 32"/>
    <w:basedOn w:val="1"/>
    <w:next w:val="56"/>
    <w:qFormat/>
    <w:uiPriority w:val="0"/>
    <w:pPr>
      <w:ind w:firstLine="420" w:firstLineChars="200"/>
    </w:pPr>
    <w:rPr>
      <w:rFonts w:ascii="Times New Roman" w:hAnsi="Times New Roman" w:eastAsia="宋体" w:cs="Times New Roman"/>
      <w:szCs w:val="21"/>
    </w:rPr>
  </w:style>
  <w:style w:type="paragraph" w:styleId="56">
    <w:name w:val="List Paragraph"/>
    <w:basedOn w:val="1"/>
    <w:qFormat/>
    <w:uiPriority w:val="34"/>
    <w:pPr>
      <w:ind w:firstLine="420" w:firstLineChars="200"/>
    </w:pPr>
  </w:style>
  <w:style w:type="paragraph" w:customStyle="1" w:styleId="57">
    <w:name w:val="itb"/>
    <w:basedOn w:val="4"/>
    <w:qFormat/>
    <w:uiPriority w:val="0"/>
    <w:pPr>
      <w:jc w:val="center"/>
    </w:pPr>
    <w:rPr>
      <w:rFonts w:ascii="楷体_GB2312" w:eastAsia="楷体_GB2312"/>
      <w:sz w:val="36"/>
    </w:rPr>
  </w:style>
  <w:style w:type="paragraph" w:customStyle="1" w:styleId="58">
    <w:name w:val="itb0"/>
    <w:basedOn w:val="57"/>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9">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60">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61">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2">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3">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4">
    <w:name w:val="itb3t"/>
    <w:basedOn w:val="60"/>
    <w:qFormat/>
    <w:uiPriority w:val="0"/>
    <w:pPr>
      <w:ind w:left="1785" w:firstLine="0"/>
    </w:pPr>
  </w:style>
  <w:style w:type="paragraph" w:customStyle="1" w:styleId="65">
    <w:name w:val="gcc"/>
    <w:basedOn w:val="57"/>
    <w:qFormat/>
    <w:uiPriority w:val="0"/>
  </w:style>
  <w:style w:type="paragraph" w:customStyle="1" w:styleId="66">
    <w:name w:val="gcc0"/>
    <w:basedOn w:val="58"/>
    <w:qFormat/>
    <w:uiPriority w:val="0"/>
  </w:style>
  <w:style w:type="paragraph" w:customStyle="1" w:styleId="67">
    <w:name w:val="gcc1"/>
    <w:basedOn w:val="59"/>
    <w:qFormat/>
    <w:uiPriority w:val="0"/>
    <w:pPr>
      <w:ind w:left="527"/>
    </w:pPr>
  </w:style>
  <w:style w:type="paragraph" w:customStyle="1" w:styleId="68">
    <w:name w:val="gcc1t"/>
    <w:basedOn w:val="5"/>
    <w:qFormat/>
    <w:uiPriority w:val="0"/>
    <w:pPr>
      <w:spacing w:line="360" w:lineRule="auto"/>
      <w:ind w:left="525" w:firstLine="0"/>
    </w:pPr>
    <w:rPr>
      <w:rFonts w:eastAsia="楷体_GB2312"/>
      <w:sz w:val="24"/>
    </w:rPr>
  </w:style>
  <w:style w:type="paragraph" w:customStyle="1" w:styleId="69">
    <w:name w:val="gcc2"/>
    <w:basedOn w:val="60"/>
    <w:qFormat/>
    <w:uiPriority w:val="0"/>
    <w:pPr>
      <w:ind w:left="525" w:hanging="525"/>
    </w:pPr>
  </w:style>
  <w:style w:type="paragraph" w:customStyle="1" w:styleId="70">
    <w:name w:val="gcc3"/>
    <w:basedOn w:val="61"/>
    <w:qFormat/>
    <w:uiPriority w:val="0"/>
    <w:pPr>
      <w:ind w:left="947" w:hanging="420"/>
    </w:pPr>
    <w:rPr>
      <w:spacing w:val="6"/>
    </w:rPr>
  </w:style>
  <w:style w:type="paragraph" w:customStyle="1" w:styleId="71">
    <w:name w:val="gcc4t"/>
    <w:basedOn w:val="70"/>
    <w:qFormat/>
    <w:uiPriority w:val="0"/>
    <w:pPr>
      <w:ind w:left="945" w:firstLine="0"/>
    </w:pPr>
  </w:style>
  <w:style w:type="paragraph" w:customStyle="1" w:styleId="72">
    <w:name w:val="gcc4"/>
    <w:basedOn w:val="62"/>
    <w:qFormat/>
    <w:uiPriority w:val="0"/>
    <w:pPr>
      <w:ind w:left="945" w:hanging="420"/>
    </w:pPr>
  </w:style>
  <w:style w:type="paragraph" w:customStyle="1" w:styleId="73">
    <w:name w:val="cf"/>
    <w:basedOn w:val="57"/>
    <w:qFormat/>
    <w:uiPriority w:val="0"/>
    <w:pPr>
      <w:spacing w:before="0" w:after="0" w:line="415" w:lineRule="auto"/>
    </w:pPr>
  </w:style>
  <w:style w:type="paragraph" w:customStyle="1" w:styleId="74">
    <w:name w:val="cft"/>
    <w:basedOn w:val="68"/>
    <w:qFormat/>
    <w:uiPriority w:val="0"/>
    <w:pPr>
      <w:ind w:left="0"/>
    </w:pPr>
  </w:style>
  <w:style w:type="paragraph" w:customStyle="1" w:styleId="75">
    <w:name w:val="cf1"/>
    <w:basedOn w:val="59"/>
    <w:qFormat/>
    <w:uiPriority w:val="0"/>
    <w:rPr>
      <w:b w:val="0"/>
      <w:bCs w:val="0"/>
    </w:rPr>
  </w:style>
  <w:style w:type="paragraph" w:customStyle="1" w:styleId="76">
    <w:name w:val="cf2"/>
    <w:basedOn w:val="69"/>
    <w:qFormat/>
    <w:uiPriority w:val="0"/>
  </w:style>
  <w:style w:type="paragraph" w:customStyle="1" w:styleId="77">
    <w:name w:val="cf2t"/>
    <w:basedOn w:val="5"/>
    <w:qFormat/>
    <w:uiPriority w:val="0"/>
    <w:pPr>
      <w:spacing w:line="360" w:lineRule="auto"/>
      <w:ind w:left="1260" w:firstLine="0"/>
    </w:pPr>
    <w:rPr>
      <w:rFonts w:ascii="楷体_GB2312" w:eastAsia="楷体_GB2312"/>
      <w:sz w:val="24"/>
    </w:rPr>
  </w:style>
  <w:style w:type="paragraph" w:customStyle="1" w:styleId="78">
    <w:name w:val="at"/>
    <w:basedOn w:val="57"/>
    <w:qFormat/>
    <w:uiPriority w:val="0"/>
  </w:style>
  <w:style w:type="paragraph" w:customStyle="1" w:styleId="79">
    <w:name w:val="at0"/>
    <w:basedOn w:val="65"/>
    <w:qFormat/>
    <w:uiPriority w:val="0"/>
    <w:pPr>
      <w:spacing w:before="0" w:after="0" w:line="415" w:lineRule="auto"/>
    </w:pPr>
  </w:style>
  <w:style w:type="paragraph" w:customStyle="1" w:styleId="80">
    <w:name w:val="att"/>
    <w:basedOn w:val="74"/>
    <w:qFormat/>
    <w:uiPriority w:val="0"/>
  </w:style>
  <w:style w:type="paragraph" w:customStyle="1" w:styleId="81">
    <w:name w:val="at1"/>
    <w:basedOn w:val="67"/>
    <w:qFormat/>
    <w:uiPriority w:val="0"/>
    <w:rPr>
      <w:b w:val="0"/>
      <w:bCs w:val="0"/>
    </w:rPr>
  </w:style>
  <w:style w:type="paragraph" w:customStyle="1" w:styleId="82">
    <w:name w:val="at2"/>
    <w:basedOn w:val="69"/>
    <w:qFormat/>
    <w:uiPriority w:val="0"/>
    <w:pPr>
      <w:tabs>
        <w:tab w:val="left" w:pos="8295"/>
      </w:tabs>
    </w:pPr>
  </w:style>
  <w:style w:type="paragraph" w:customStyle="1" w:styleId="83">
    <w:name w:val="at3"/>
    <w:basedOn w:val="70"/>
    <w:qFormat/>
    <w:uiPriority w:val="0"/>
    <w:pPr>
      <w:tabs>
        <w:tab w:val="left" w:pos="8295"/>
      </w:tabs>
    </w:pPr>
  </w:style>
  <w:style w:type="paragraph" w:customStyle="1" w:styleId="84">
    <w:name w:val="ifb"/>
    <w:basedOn w:val="57"/>
    <w:qFormat/>
    <w:uiPriority w:val="0"/>
    <w:pPr>
      <w:spacing w:before="0" w:after="0" w:line="360" w:lineRule="auto"/>
    </w:pPr>
  </w:style>
  <w:style w:type="paragraph" w:customStyle="1" w:styleId="85">
    <w:name w:val="ifb-1"/>
    <w:basedOn w:val="1"/>
    <w:qFormat/>
    <w:uiPriority w:val="0"/>
    <w:pPr>
      <w:ind w:left="420" w:hanging="420"/>
    </w:pPr>
    <w:rPr>
      <w:rFonts w:ascii="楷体_GB2312" w:hAnsi="Times New Roman" w:eastAsia="楷体_GB2312" w:cs="Times New Roman"/>
      <w:szCs w:val="20"/>
    </w:rPr>
  </w:style>
  <w:style w:type="paragraph" w:customStyle="1" w:styleId="86">
    <w:name w:val="cf0"/>
    <w:basedOn w:val="73"/>
    <w:qFormat/>
    <w:uiPriority w:val="0"/>
  </w:style>
  <w:style w:type="paragraph" w:customStyle="1" w:styleId="87">
    <w:name w:val="sor"/>
    <w:basedOn w:val="84"/>
    <w:qFormat/>
    <w:uiPriority w:val="0"/>
  </w:style>
  <w:style w:type="paragraph" w:customStyle="1" w:styleId="88">
    <w:name w:val="itb-1.1.a"/>
    <w:basedOn w:val="1"/>
    <w:qFormat/>
    <w:uiPriority w:val="0"/>
    <w:pPr>
      <w:ind w:left="1470" w:hanging="525"/>
    </w:pPr>
    <w:rPr>
      <w:rFonts w:ascii="楷体_GB2312" w:hAnsi="Times New Roman" w:eastAsia="楷体_GB2312" w:cs="Times New Roman"/>
      <w:szCs w:val="20"/>
    </w:rPr>
  </w:style>
  <w:style w:type="paragraph" w:customStyle="1" w:styleId="89">
    <w:name w:val="atoo"/>
    <w:basedOn w:val="79"/>
    <w:qFormat/>
    <w:uiPriority w:val="0"/>
  </w:style>
  <w:style w:type="paragraph" w:customStyle="1" w:styleId="90">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91">
    <w:name w:val="itb2t"/>
    <w:basedOn w:val="60"/>
    <w:qFormat/>
    <w:uiPriority w:val="0"/>
    <w:pPr>
      <w:ind w:left="1157" w:firstLine="0"/>
    </w:pPr>
  </w:style>
  <w:style w:type="paragraph" w:customStyle="1" w:styleId="92">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3">
    <w:name w:val="bds"/>
    <w:basedOn w:val="57"/>
    <w:qFormat/>
    <w:uiPriority w:val="0"/>
    <w:pPr>
      <w:autoSpaceDE w:val="0"/>
      <w:autoSpaceDN w:val="0"/>
      <w:spacing w:line="360" w:lineRule="exact"/>
    </w:pPr>
    <w:rPr>
      <w:rFonts w:ascii="Times New Roman" w:eastAsia="华文仿宋"/>
    </w:rPr>
  </w:style>
  <w:style w:type="paragraph" w:customStyle="1" w:styleId="94">
    <w:name w:val="cbds"/>
    <w:basedOn w:val="93"/>
    <w:qFormat/>
    <w:uiPriority w:val="0"/>
  </w:style>
  <w:style w:type="paragraph" w:customStyle="1" w:styleId="95">
    <w:name w:val="scc-14.5.1"/>
    <w:basedOn w:val="96"/>
    <w:qFormat/>
    <w:uiPriority w:val="0"/>
    <w:pPr>
      <w:spacing w:line="360" w:lineRule="exact"/>
      <w:ind w:left="1467" w:hanging="840"/>
    </w:pPr>
  </w:style>
  <w:style w:type="paragraph" w:customStyle="1" w:styleId="96">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7">
    <w:name w:val="scc-14.5.1.a"/>
    <w:basedOn w:val="98"/>
    <w:qFormat/>
    <w:uiPriority w:val="0"/>
    <w:pPr>
      <w:spacing w:line="360" w:lineRule="exact"/>
      <w:ind w:left="1992" w:hanging="525"/>
    </w:pPr>
  </w:style>
  <w:style w:type="paragraph" w:customStyle="1" w:styleId="98">
    <w:name w:val="SCC-1.1.1.1"/>
    <w:basedOn w:val="96"/>
    <w:qFormat/>
    <w:uiPriority w:val="0"/>
    <w:pPr>
      <w:ind w:left="1890" w:hanging="420"/>
    </w:pPr>
  </w:style>
  <w:style w:type="paragraph" w:customStyle="1" w:styleId="99">
    <w:name w:val="scc-14.5.1.a.i"/>
    <w:basedOn w:val="100"/>
    <w:qFormat/>
    <w:uiPriority w:val="0"/>
    <w:pPr>
      <w:spacing w:line="360" w:lineRule="exact"/>
      <w:ind w:left="2517" w:hanging="525"/>
    </w:pPr>
  </w:style>
  <w:style w:type="paragraph" w:customStyle="1" w:styleId="100">
    <w:name w:val="scc-1.1.1.1.1"/>
    <w:basedOn w:val="98"/>
    <w:qFormat/>
    <w:uiPriority w:val="0"/>
    <w:pPr>
      <w:ind w:left="2205" w:hanging="315"/>
    </w:pPr>
  </w:style>
  <w:style w:type="paragraph" w:customStyle="1" w:styleId="101">
    <w:name w:val="scc-1.1"/>
    <w:basedOn w:val="102"/>
    <w:qFormat/>
    <w:uiPriority w:val="0"/>
    <w:pPr>
      <w:ind w:left="947" w:hanging="527"/>
    </w:pPr>
    <w:rPr>
      <w:rFonts w:ascii="楷体_GB2312"/>
    </w:rPr>
  </w:style>
  <w:style w:type="paragraph" w:customStyle="1" w:styleId="102">
    <w:name w:val="gcc-1.1"/>
    <w:basedOn w:val="103"/>
    <w:qFormat/>
    <w:uiPriority w:val="0"/>
    <w:pPr>
      <w:spacing w:line="400" w:lineRule="atLeast"/>
    </w:pPr>
    <w:rPr>
      <w:rFonts w:ascii="Times New Roman"/>
      <w:sz w:val="24"/>
    </w:rPr>
  </w:style>
  <w:style w:type="paragraph" w:customStyle="1" w:styleId="103">
    <w:name w:val="itb-1.1"/>
    <w:basedOn w:val="1"/>
    <w:qFormat/>
    <w:uiPriority w:val="0"/>
    <w:pPr>
      <w:ind w:left="945" w:hanging="525"/>
    </w:pPr>
    <w:rPr>
      <w:rFonts w:ascii="楷体_GB2312" w:hAnsi="Times New Roman" w:eastAsia="楷体_GB2312" w:cs="Times New Roman"/>
      <w:szCs w:val="20"/>
    </w:rPr>
  </w:style>
  <w:style w:type="character" w:customStyle="1" w:styleId="104">
    <w:name w:val="正文文本 Char"/>
    <w:basedOn w:val="34"/>
    <w:link w:val="15"/>
    <w:qFormat/>
    <w:uiPriority w:val="0"/>
    <w:rPr>
      <w:rFonts w:ascii="Times New Roman" w:hAnsi="Times New Roman" w:eastAsia="宋体" w:cs="Times New Roman"/>
      <w:szCs w:val="20"/>
    </w:rPr>
  </w:style>
  <w:style w:type="character" w:customStyle="1" w:styleId="105">
    <w:name w:val="正文文本缩进 Char"/>
    <w:basedOn w:val="34"/>
    <w:link w:val="16"/>
    <w:qFormat/>
    <w:uiPriority w:val="0"/>
    <w:rPr>
      <w:rFonts w:ascii="Times New Roman" w:hAnsi="Times New Roman" w:eastAsia="宋体" w:cs="Times New Roman"/>
      <w:szCs w:val="20"/>
    </w:rPr>
  </w:style>
  <w:style w:type="character" w:customStyle="1" w:styleId="106">
    <w:name w:val="副标题 Char"/>
    <w:basedOn w:val="34"/>
    <w:link w:val="24"/>
    <w:qFormat/>
    <w:uiPriority w:val="0"/>
    <w:rPr>
      <w:rFonts w:ascii="Arial" w:hAnsi="Arial" w:eastAsia="宋体" w:cs="Arial"/>
      <w:b/>
      <w:bCs/>
      <w:kern w:val="28"/>
      <w:sz w:val="32"/>
      <w:szCs w:val="32"/>
    </w:rPr>
  </w:style>
  <w:style w:type="character" w:customStyle="1" w:styleId="107">
    <w:name w:val="正文文本 2 Char"/>
    <w:basedOn w:val="34"/>
    <w:link w:val="27"/>
    <w:qFormat/>
    <w:uiPriority w:val="0"/>
    <w:rPr>
      <w:rFonts w:ascii="楷体_GB2312" w:hAnsi="Times New Roman" w:eastAsia="楷体_GB2312" w:cs="Times New Roman"/>
      <w:b/>
      <w:sz w:val="72"/>
      <w:szCs w:val="20"/>
    </w:rPr>
  </w:style>
  <w:style w:type="paragraph" w:customStyle="1" w:styleId="108">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9">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10">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11">
    <w:name w:val="正文文本缩进 2 Char"/>
    <w:basedOn w:val="34"/>
    <w:link w:val="20"/>
    <w:qFormat/>
    <w:uiPriority w:val="0"/>
    <w:rPr>
      <w:rFonts w:ascii="华文仿宋" w:hAnsi="华文仿宋" w:eastAsia="华文仿宋" w:cs="Times New Roman"/>
      <w:sz w:val="32"/>
      <w:szCs w:val="20"/>
    </w:rPr>
  </w:style>
  <w:style w:type="character" w:customStyle="1" w:styleId="112">
    <w:name w:val="批注框文本 Char"/>
    <w:basedOn w:val="34"/>
    <w:link w:val="21"/>
    <w:semiHidden/>
    <w:qFormat/>
    <w:uiPriority w:val="0"/>
    <w:rPr>
      <w:rFonts w:ascii="Times New Roman" w:hAnsi="Times New Roman" w:eastAsia="宋体" w:cs="Times New Roman"/>
      <w:sz w:val="18"/>
      <w:szCs w:val="18"/>
    </w:rPr>
  </w:style>
  <w:style w:type="character" w:customStyle="1" w:styleId="113">
    <w:name w:val="正文文本缩进 3 Char"/>
    <w:basedOn w:val="34"/>
    <w:link w:val="26"/>
    <w:qFormat/>
    <w:uiPriority w:val="0"/>
    <w:rPr>
      <w:rFonts w:ascii="华文仿宋" w:hAnsi="华文仿宋" w:eastAsia="华文仿宋" w:cs="Times New Roman"/>
      <w:sz w:val="24"/>
      <w:szCs w:val="20"/>
    </w:rPr>
  </w:style>
  <w:style w:type="paragraph" w:customStyle="1" w:styleId="114">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5">
    <w:name w:val="Char Char"/>
    <w:qFormat/>
    <w:uiPriority w:val="0"/>
    <w:rPr>
      <w:rFonts w:ascii="宋体" w:eastAsia="宋体"/>
      <w:b/>
      <w:kern w:val="2"/>
      <w:sz w:val="36"/>
      <w:lang w:val="en-US" w:eastAsia="zh-CN" w:bidi="ar-SA"/>
    </w:rPr>
  </w:style>
  <w:style w:type="character" w:customStyle="1" w:styleId="116">
    <w:name w:val="Char Char1"/>
    <w:qFormat/>
    <w:uiPriority w:val="0"/>
    <w:rPr>
      <w:rFonts w:eastAsia="宋体"/>
      <w:kern w:val="2"/>
      <w:sz w:val="18"/>
      <w:lang w:val="en-US" w:eastAsia="zh-CN" w:bidi="ar-SA"/>
    </w:rPr>
  </w:style>
  <w:style w:type="character" w:customStyle="1" w:styleId="117">
    <w:name w:val="Char Char7"/>
    <w:qFormat/>
    <w:uiPriority w:val="0"/>
    <w:rPr>
      <w:rFonts w:ascii="Arial" w:hAnsi="Arial" w:eastAsia="黑体"/>
      <w:b/>
      <w:bCs/>
      <w:kern w:val="2"/>
      <w:sz w:val="28"/>
      <w:szCs w:val="28"/>
      <w:lang w:val="en-US" w:eastAsia="zh-CN" w:bidi="ar-SA"/>
    </w:rPr>
  </w:style>
  <w:style w:type="character" w:customStyle="1" w:styleId="118">
    <w:name w:val="Char Char6"/>
    <w:qFormat/>
    <w:uiPriority w:val="0"/>
    <w:rPr>
      <w:rFonts w:eastAsia="宋体"/>
      <w:b/>
      <w:bCs/>
      <w:kern w:val="2"/>
      <w:sz w:val="28"/>
      <w:szCs w:val="28"/>
      <w:lang w:val="en-US" w:eastAsia="zh-CN" w:bidi="ar-SA"/>
    </w:rPr>
  </w:style>
  <w:style w:type="character" w:customStyle="1" w:styleId="119">
    <w:name w:val="Char Char5"/>
    <w:qFormat/>
    <w:uiPriority w:val="0"/>
    <w:rPr>
      <w:rFonts w:ascii="Arial" w:hAnsi="Arial" w:eastAsia="黑体"/>
      <w:b/>
      <w:bCs/>
      <w:kern w:val="2"/>
      <w:sz w:val="24"/>
      <w:szCs w:val="24"/>
      <w:lang w:val="en-US" w:eastAsia="zh-CN" w:bidi="ar-SA"/>
    </w:rPr>
  </w:style>
  <w:style w:type="character" w:customStyle="1" w:styleId="120">
    <w:name w:val="Char Char4"/>
    <w:qFormat/>
    <w:uiPriority w:val="0"/>
    <w:rPr>
      <w:rFonts w:eastAsia="宋体"/>
      <w:b/>
      <w:bCs/>
      <w:kern w:val="2"/>
      <w:sz w:val="24"/>
      <w:szCs w:val="24"/>
      <w:lang w:val="en-US" w:eastAsia="zh-CN" w:bidi="ar-SA"/>
    </w:rPr>
  </w:style>
  <w:style w:type="character" w:customStyle="1" w:styleId="121">
    <w:name w:val="Char Char3"/>
    <w:qFormat/>
    <w:uiPriority w:val="0"/>
    <w:rPr>
      <w:rFonts w:ascii="Arial" w:hAnsi="Arial" w:eastAsia="黑体"/>
      <w:kern w:val="2"/>
      <w:sz w:val="24"/>
      <w:szCs w:val="24"/>
      <w:lang w:val="en-US" w:eastAsia="zh-CN" w:bidi="ar-SA"/>
    </w:rPr>
  </w:style>
  <w:style w:type="character" w:customStyle="1" w:styleId="122">
    <w:name w:val="Char Char2"/>
    <w:qFormat/>
    <w:uiPriority w:val="0"/>
    <w:rPr>
      <w:rFonts w:ascii="Arial" w:hAnsi="Arial" w:eastAsia="黑体"/>
      <w:kern w:val="2"/>
      <w:sz w:val="21"/>
      <w:szCs w:val="21"/>
      <w:lang w:val="en-US" w:eastAsia="zh-CN" w:bidi="ar-SA"/>
    </w:rPr>
  </w:style>
  <w:style w:type="paragraph" w:customStyle="1" w:styleId="123">
    <w:name w:val="样式1"/>
    <w:basedOn w:val="1"/>
    <w:qFormat/>
    <w:uiPriority w:val="0"/>
    <w:pPr>
      <w:spacing w:line="360" w:lineRule="auto"/>
    </w:pPr>
    <w:rPr>
      <w:rFonts w:ascii="宋体" w:hAnsi="宋体" w:eastAsia="宋体" w:cs="Times New Roman"/>
      <w:sz w:val="24"/>
      <w:szCs w:val="24"/>
    </w:rPr>
  </w:style>
  <w:style w:type="paragraph" w:customStyle="1" w:styleId="124">
    <w:name w:val="样式2"/>
    <w:basedOn w:val="1"/>
    <w:qFormat/>
    <w:uiPriority w:val="0"/>
    <w:pPr>
      <w:spacing w:line="360" w:lineRule="auto"/>
      <w:ind w:left="360"/>
    </w:pPr>
    <w:rPr>
      <w:rFonts w:ascii="宋体" w:hAnsi="宋体" w:eastAsia="宋体" w:cs="Times New Roman"/>
      <w:sz w:val="24"/>
      <w:szCs w:val="24"/>
    </w:rPr>
  </w:style>
  <w:style w:type="character" w:customStyle="1" w:styleId="125">
    <w:name w:val="样式2 Char"/>
    <w:qFormat/>
    <w:uiPriority w:val="0"/>
    <w:rPr>
      <w:rFonts w:ascii="宋体" w:hAnsi="宋体" w:eastAsia="宋体"/>
      <w:kern w:val="2"/>
      <w:sz w:val="24"/>
      <w:szCs w:val="24"/>
      <w:lang w:val="en-US" w:eastAsia="zh-CN" w:bidi="ar-SA"/>
    </w:rPr>
  </w:style>
  <w:style w:type="character" w:customStyle="1" w:styleId="126">
    <w:name w:val="普通文字1 Char"/>
    <w:qFormat/>
    <w:uiPriority w:val="0"/>
    <w:rPr>
      <w:rFonts w:ascii="宋体" w:hAnsi="Courier New" w:eastAsia="宋体"/>
      <w:kern w:val="2"/>
      <w:sz w:val="21"/>
      <w:lang w:val="en-US" w:eastAsia="zh-CN" w:bidi="ar-SA"/>
    </w:rPr>
  </w:style>
  <w:style w:type="character" w:customStyle="1" w:styleId="127">
    <w:name w:val="批注文字 Char"/>
    <w:basedOn w:val="34"/>
    <w:link w:val="13"/>
    <w:semiHidden/>
    <w:qFormat/>
    <w:uiPriority w:val="0"/>
    <w:rPr>
      <w:rFonts w:ascii="Times New Roman" w:hAnsi="Times New Roman" w:eastAsia="宋体" w:cs="Times New Roman"/>
      <w:kern w:val="0"/>
      <w:sz w:val="24"/>
      <w:szCs w:val="20"/>
    </w:rPr>
  </w:style>
  <w:style w:type="paragraph" w:customStyle="1" w:styleId="128">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9">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30">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31">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2">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3">
    <w:name w:val="标4"/>
    <w:basedOn w:val="129"/>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4">
    <w:name w:val="标题 Char"/>
    <w:basedOn w:val="34"/>
    <w:link w:val="30"/>
    <w:qFormat/>
    <w:uiPriority w:val="0"/>
    <w:rPr>
      <w:rFonts w:ascii="Arial" w:hAnsi="Arial" w:eastAsia="黑体" w:cs="Times New Roman"/>
      <w:b/>
      <w:sz w:val="36"/>
      <w:szCs w:val="20"/>
    </w:rPr>
  </w:style>
  <w:style w:type="character" w:customStyle="1" w:styleId="135">
    <w:name w:val="正文文本 Char1"/>
    <w:qFormat/>
    <w:uiPriority w:val="0"/>
    <w:rPr>
      <w:kern w:val="2"/>
      <w:sz w:val="21"/>
      <w:szCs w:val="24"/>
    </w:rPr>
  </w:style>
  <w:style w:type="character" w:customStyle="1" w:styleId="136">
    <w:name w:val="Footer Char"/>
    <w:qFormat/>
    <w:uiPriority w:val="0"/>
    <w:rPr>
      <w:rFonts w:ascii="Times New Roman" w:hAnsi="Times New Roman" w:cs="Times New Roman"/>
      <w:sz w:val="18"/>
      <w:szCs w:val="18"/>
    </w:rPr>
  </w:style>
  <w:style w:type="paragraph" w:customStyle="1" w:styleId="137">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8">
    <w:name w:val="Body Text Indent Char"/>
    <w:qFormat/>
    <w:uiPriority w:val="0"/>
    <w:rPr>
      <w:rFonts w:ascii="Times New Roman" w:hAnsi="Times New Roman" w:eastAsia="宋体" w:cs="Times New Roman"/>
      <w:sz w:val="24"/>
      <w:szCs w:val="24"/>
    </w:rPr>
  </w:style>
  <w:style w:type="character" w:customStyle="1" w:styleId="139">
    <w:name w:val="Heading 1 Char"/>
    <w:qFormat/>
    <w:uiPriority w:val="0"/>
    <w:rPr>
      <w:rFonts w:ascii="Times New Roman" w:hAnsi="Times New Roman" w:cs="Times New Roman"/>
      <w:b/>
      <w:bCs/>
      <w:kern w:val="44"/>
      <w:sz w:val="44"/>
      <w:szCs w:val="44"/>
    </w:rPr>
  </w:style>
  <w:style w:type="character" w:customStyle="1" w:styleId="140">
    <w:name w:val="Heading 2 Char"/>
    <w:qFormat/>
    <w:uiPriority w:val="0"/>
    <w:rPr>
      <w:rFonts w:ascii="Cambria" w:hAnsi="Cambria" w:eastAsia="宋体" w:cs="Cambria"/>
      <w:b/>
      <w:bCs/>
      <w:sz w:val="32"/>
      <w:szCs w:val="32"/>
    </w:rPr>
  </w:style>
  <w:style w:type="character" w:customStyle="1" w:styleId="141">
    <w:name w:val="Heading 3 Char"/>
    <w:qFormat/>
    <w:uiPriority w:val="0"/>
    <w:rPr>
      <w:rFonts w:ascii="Times New Roman" w:hAnsi="Times New Roman" w:cs="Times New Roman"/>
      <w:b/>
      <w:bCs/>
      <w:sz w:val="32"/>
      <w:szCs w:val="32"/>
    </w:rPr>
  </w:style>
  <w:style w:type="character" w:customStyle="1" w:styleId="142">
    <w:name w:val="Heading 4 Char"/>
    <w:qFormat/>
    <w:uiPriority w:val="0"/>
    <w:rPr>
      <w:rFonts w:ascii="Cambria" w:hAnsi="Cambria" w:eastAsia="宋体" w:cs="Cambria"/>
      <w:b/>
      <w:bCs/>
      <w:sz w:val="28"/>
      <w:szCs w:val="28"/>
    </w:rPr>
  </w:style>
  <w:style w:type="character" w:customStyle="1" w:styleId="143">
    <w:name w:val="Heading 5 Char"/>
    <w:qFormat/>
    <w:uiPriority w:val="0"/>
    <w:rPr>
      <w:rFonts w:ascii="Times New Roman" w:hAnsi="Times New Roman" w:cs="Times New Roman"/>
      <w:b/>
      <w:bCs/>
      <w:sz w:val="28"/>
      <w:szCs w:val="28"/>
    </w:rPr>
  </w:style>
  <w:style w:type="character" w:customStyle="1" w:styleId="144">
    <w:name w:val="Heading 6 Char"/>
    <w:qFormat/>
    <w:uiPriority w:val="0"/>
    <w:rPr>
      <w:rFonts w:ascii="Cambria" w:hAnsi="Cambria" w:eastAsia="宋体" w:cs="Cambria"/>
      <w:b/>
      <w:bCs/>
      <w:sz w:val="24"/>
      <w:szCs w:val="24"/>
    </w:rPr>
  </w:style>
  <w:style w:type="character" w:customStyle="1" w:styleId="145">
    <w:name w:val="Heading 7 Char"/>
    <w:qFormat/>
    <w:uiPriority w:val="0"/>
    <w:rPr>
      <w:rFonts w:ascii="Times New Roman" w:hAnsi="Times New Roman" w:cs="Times New Roman"/>
      <w:b/>
      <w:bCs/>
      <w:sz w:val="24"/>
      <w:szCs w:val="24"/>
    </w:rPr>
  </w:style>
  <w:style w:type="character" w:customStyle="1" w:styleId="146">
    <w:name w:val="Heading 8 Char"/>
    <w:qFormat/>
    <w:uiPriority w:val="0"/>
    <w:rPr>
      <w:rFonts w:ascii="Cambria" w:hAnsi="Cambria" w:eastAsia="宋体" w:cs="Cambria"/>
      <w:sz w:val="24"/>
      <w:szCs w:val="24"/>
    </w:rPr>
  </w:style>
  <w:style w:type="character" w:customStyle="1" w:styleId="147">
    <w:name w:val="Heading 9 Char"/>
    <w:qFormat/>
    <w:uiPriority w:val="0"/>
    <w:rPr>
      <w:rFonts w:ascii="Cambria" w:hAnsi="Cambria" w:eastAsia="宋体" w:cs="Cambria"/>
      <w:sz w:val="21"/>
      <w:szCs w:val="21"/>
    </w:rPr>
  </w:style>
  <w:style w:type="character" w:customStyle="1" w:styleId="148">
    <w:name w:val="Body Text Char"/>
    <w:qFormat/>
    <w:uiPriority w:val="0"/>
    <w:rPr>
      <w:rFonts w:ascii="Times New Roman" w:hAnsi="Times New Roman" w:cs="Times New Roman"/>
      <w:sz w:val="24"/>
      <w:szCs w:val="24"/>
    </w:rPr>
  </w:style>
  <w:style w:type="character" w:customStyle="1" w:styleId="149">
    <w:name w:val="Body Text 2 Char"/>
    <w:qFormat/>
    <w:uiPriority w:val="0"/>
    <w:rPr>
      <w:rFonts w:ascii="Times New Roman" w:hAnsi="Times New Roman" w:cs="Times New Roman"/>
      <w:sz w:val="24"/>
      <w:szCs w:val="24"/>
    </w:rPr>
  </w:style>
  <w:style w:type="character" w:customStyle="1" w:styleId="150">
    <w:name w:val="Body Text 3 Char"/>
    <w:qFormat/>
    <w:uiPriority w:val="0"/>
    <w:rPr>
      <w:rFonts w:ascii="Times New Roman" w:hAnsi="Times New Roman" w:cs="Times New Roman"/>
      <w:sz w:val="16"/>
      <w:szCs w:val="16"/>
    </w:rPr>
  </w:style>
  <w:style w:type="character" w:customStyle="1" w:styleId="151">
    <w:name w:val="Title Char"/>
    <w:qFormat/>
    <w:uiPriority w:val="0"/>
    <w:rPr>
      <w:rFonts w:ascii="Cambria" w:hAnsi="Cambria" w:cs="Cambria"/>
      <w:b/>
      <w:bCs/>
      <w:sz w:val="32"/>
      <w:szCs w:val="32"/>
    </w:rPr>
  </w:style>
  <w:style w:type="character" w:customStyle="1" w:styleId="152">
    <w:name w:val="Subtitle Char"/>
    <w:qFormat/>
    <w:uiPriority w:val="0"/>
    <w:rPr>
      <w:rFonts w:ascii="Cambria" w:hAnsi="Cambria" w:cs="Cambria"/>
      <w:b/>
      <w:bCs/>
      <w:kern w:val="28"/>
      <w:sz w:val="32"/>
      <w:szCs w:val="32"/>
    </w:rPr>
  </w:style>
  <w:style w:type="character" w:customStyle="1" w:styleId="153">
    <w:name w:val="Plain Text Char"/>
    <w:qFormat/>
    <w:uiPriority w:val="0"/>
    <w:rPr>
      <w:rFonts w:ascii="宋体" w:eastAsia="宋体" w:cs="宋体"/>
      <w:sz w:val="21"/>
      <w:szCs w:val="21"/>
    </w:rPr>
  </w:style>
  <w:style w:type="character" w:customStyle="1" w:styleId="154">
    <w:name w:val="Body Text Indent 2 Char"/>
    <w:qFormat/>
    <w:uiPriority w:val="0"/>
    <w:rPr>
      <w:rFonts w:ascii="Times New Roman" w:hAnsi="Times New Roman" w:cs="Times New Roman"/>
      <w:sz w:val="24"/>
      <w:szCs w:val="24"/>
    </w:rPr>
  </w:style>
  <w:style w:type="character" w:customStyle="1" w:styleId="155">
    <w:name w:val="Body Text Indent 3 Char"/>
    <w:qFormat/>
    <w:uiPriority w:val="0"/>
    <w:rPr>
      <w:rFonts w:ascii="Times New Roman" w:hAnsi="Times New Roman" w:cs="Times New Roman"/>
      <w:sz w:val="16"/>
      <w:szCs w:val="16"/>
    </w:rPr>
  </w:style>
  <w:style w:type="character" w:customStyle="1" w:styleId="156">
    <w:name w:val="Header Char"/>
    <w:qFormat/>
    <w:uiPriority w:val="0"/>
    <w:rPr>
      <w:rFonts w:ascii="Times New Roman" w:hAnsi="Times New Roman" w:cs="Times New Roman"/>
      <w:sz w:val="18"/>
      <w:szCs w:val="18"/>
    </w:rPr>
  </w:style>
  <w:style w:type="character" w:customStyle="1" w:styleId="157">
    <w:name w:val="Date Char"/>
    <w:qFormat/>
    <w:uiPriority w:val="0"/>
    <w:rPr>
      <w:rFonts w:ascii="Times New Roman" w:hAnsi="Times New Roman" w:cs="Times New Roman"/>
      <w:sz w:val="24"/>
      <w:szCs w:val="24"/>
    </w:rPr>
  </w:style>
  <w:style w:type="character" w:customStyle="1" w:styleId="158">
    <w:name w:val="Balloon Text Char"/>
    <w:qFormat/>
    <w:uiPriority w:val="0"/>
    <w:rPr>
      <w:rFonts w:ascii="Times New Roman" w:hAnsi="Times New Roman" w:cs="Times New Roman"/>
      <w:sz w:val="2"/>
      <w:szCs w:val="2"/>
    </w:rPr>
  </w:style>
  <w:style w:type="paragraph" w:customStyle="1" w:styleId="159">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60">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61">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2">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3">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4">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5">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6">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7">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8">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9">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70">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71">
    <w:name w:val="H-TextFormat"/>
    <w:qFormat/>
    <w:uiPriority w:val="0"/>
    <w:pPr>
      <w:jc w:val="center"/>
    </w:pPr>
    <w:rPr>
      <w:rFonts w:ascii="Arial" w:hAnsi="Arial" w:eastAsia="宋体" w:cs="Arial"/>
      <w:sz w:val="22"/>
      <w:szCs w:val="22"/>
      <w:lang w:val="en-US" w:eastAsia="zh-CN" w:bidi="ar-SA"/>
    </w:rPr>
  </w:style>
  <w:style w:type="paragraph" w:customStyle="1" w:styleId="172">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3">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5">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6">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7">
    <w:name w:val="正文文本 3 Char"/>
    <w:basedOn w:val="34"/>
    <w:link w:val="14"/>
    <w:qFormat/>
    <w:uiPriority w:val="0"/>
    <w:rPr>
      <w:rFonts w:ascii="Times New Roman" w:hAnsi="Times New Roman" w:eastAsia="宋体" w:cs="Times New Roman"/>
      <w:sz w:val="48"/>
      <w:szCs w:val="48"/>
    </w:rPr>
  </w:style>
  <w:style w:type="character" w:customStyle="1" w:styleId="178">
    <w:name w:val="批注主题 Char"/>
    <w:basedOn w:val="127"/>
    <w:link w:val="31"/>
    <w:qFormat/>
    <w:uiPriority w:val="0"/>
    <w:rPr>
      <w:rFonts w:ascii="Times New Roman" w:hAnsi="Times New Roman" w:eastAsia="宋体" w:cs="Times New Roman"/>
      <w:b/>
      <w:bCs/>
      <w:kern w:val="0"/>
      <w:sz w:val="24"/>
      <w:szCs w:val="24"/>
    </w:rPr>
  </w:style>
  <w:style w:type="paragraph" w:customStyle="1" w:styleId="179">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80">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81">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2">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6">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7">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2">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3">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4">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7">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8">
    <w:name w:val="表格文字"/>
    <w:basedOn w:val="1"/>
    <w:qFormat/>
    <w:uiPriority w:val="0"/>
    <w:pPr>
      <w:snapToGrid w:val="0"/>
      <w:spacing w:before="120"/>
    </w:pPr>
    <w:rPr>
      <w:rFonts w:ascii="Times New Roman" w:hAnsi="Times New Roman" w:eastAsia="宋体" w:cs="Times New Roman"/>
      <w:szCs w:val="21"/>
    </w:rPr>
  </w:style>
  <w:style w:type="paragraph" w:customStyle="1" w:styleId="199">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0">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201">
    <w:name w:val="页脚 Char"/>
    <w:qFormat/>
    <w:uiPriority w:val="99"/>
    <w:rPr>
      <w:kern w:val="2"/>
      <w:sz w:val="18"/>
    </w:rPr>
  </w:style>
  <w:style w:type="character" w:customStyle="1" w:styleId="202">
    <w:name w:val="页眉 Char"/>
    <w:qFormat/>
    <w:uiPriority w:val="99"/>
    <w:rPr>
      <w:kern w:val="2"/>
      <w:sz w:val="18"/>
    </w:rPr>
  </w:style>
  <w:style w:type="character" w:customStyle="1" w:styleId="203">
    <w:name w:val="文档结构图 字符"/>
    <w:basedOn w:val="34"/>
    <w:semiHidden/>
    <w:qFormat/>
    <w:uiPriority w:val="99"/>
    <w:rPr>
      <w:rFonts w:ascii="Microsoft YaHei UI" w:eastAsia="Microsoft YaHei UI"/>
      <w:sz w:val="18"/>
      <w:szCs w:val="18"/>
    </w:rPr>
  </w:style>
  <w:style w:type="character" w:customStyle="1" w:styleId="204">
    <w:name w:val="文档结构图 Char"/>
    <w:link w:val="12"/>
    <w:qFormat/>
    <w:uiPriority w:val="0"/>
    <w:rPr>
      <w:rFonts w:ascii="宋体" w:hAnsi="Times New Roman" w:eastAsia="宋体" w:cs="Times New Roman"/>
      <w:sz w:val="18"/>
      <w:szCs w:val="18"/>
    </w:rPr>
  </w:style>
  <w:style w:type="character" w:customStyle="1" w:styleId="205">
    <w:name w:val="HTML 预设格式 字符"/>
    <w:basedOn w:val="34"/>
    <w:semiHidden/>
    <w:qFormat/>
    <w:uiPriority w:val="99"/>
    <w:rPr>
      <w:rFonts w:ascii="Courier New" w:hAnsi="Courier New" w:cs="Courier New"/>
      <w:sz w:val="20"/>
      <w:szCs w:val="20"/>
    </w:rPr>
  </w:style>
  <w:style w:type="character" w:customStyle="1" w:styleId="206">
    <w:name w:val="HTML 预设格式 Char"/>
    <w:link w:val="28"/>
    <w:qFormat/>
    <w:uiPriority w:val="99"/>
    <w:rPr>
      <w:rFonts w:ascii="宋体" w:hAnsi="宋体" w:eastAsia="宋体" w:cs="Times New Roman"/>
      <w:kern w:val="0"/>
      <w:sz w:val="24"/>
      <w:szCs w:val="24"/>
    </w:rPr>
  </w:style>
  <w:style w:type="paragraph" w:customStyle="1" w:styleId="207">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8">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9">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10">
    <w:name w:val="_Style 206"/>
    <w:basedOn w:val="1"/>
    <w:next w:val="56"/>
    <w:qFormat/>
    <w:uiPriority w:val="34"/>
    <w:pPr>
      <w:ind w:firstLine="420" w:firstLineChars="200"/>
    </w:pPr>
    <w:rPr>
      <w:rFonts w:ascii="Times New Roman" w:hAnsi="Times New Roman" w:eastAsia="宋体" w:cs="Times New Roman"/>
      <w:szCs w:val="24"/>
    </w:rPr>
  </w:style>
  <w:style w:type="character" w:customStyle="1" w:styleId="211">
    <w:name w:val="NormalCharacter"/>
    <w:qFormat/>
    <w:uiPriority w:val="0"/>
    <w:rPr>
      <w:rFonts w:ascii="Times New Roman" w:hAnsi="Times New Roman" w:eastAsia="宋体"/>
    </w:rPr>
  </w:style>
  <w:style w:type="paragraph" w:customStyle="1" w:styleId="212">
    <w:name w:val="Table Paragraph"/>
    <w:basedOn w:val="1"/>
    <w:qFormat/>
    <w:uiPriority w:val="1"/>
  </w:style>
  <w:style w:type="character" w:customStyle="1" w:styleId="213">
    <w:name w:val="fontstyle01"/>
    <w:basedOn w:val="34"/>
    <w:qFormat/>
    <w:uiPriority w:val="0"/>
    <w:rPr>
      <w:rFonts w:hint="eastAsia" w:ascii="宋体" w:hAnsi="宋体" w:eastAsia="宋体"/>
      <w:color w:val="000000"/>
      <w:sz w:val="18"/>
      <w:szCs w:val="18"/>
    </w:rPr>
  </w:style>
  <w:style w:type="character" w:customStyle="1" w:styleId="214">
    <w:name w:val="fontstyle21"/>
    <w:basedOn w:val="34"/>
    <w:qFormat/>
    <w:uiPriority w:val="0"/>
    <w:rPr>
      <w:rFonts w:hint="default" w:ascii="TimesNewRomanPSMT" w:hAnsi="TimesNewRomanPSMT"/>
      <w:color w:val="000000"/>
      <w:sz w:val="18"/>
      <w:szCs w:val="18"/>
    </w:rPr>
  </w:style>
  <w:style w:type="character" w:customStyle="1" w:styleId="215">
    <w:name w:val="font21"/>
    <w:basedOn w:val="34"/>
    <w:qFormat/>
    <w:uiPriority w:val="0"/>
    <w:rPr>
      <w:rFonts w:hint="eastAsia" w:ascii="微软雅黑" w:hAnsi="微软雅黑" w:eastAsia="微软雅黑" w:cs="微软雅黑"/>
      <w:color w:val="000000"/>
      <w:sz w:val="20"/>
      <w:szCs w:val="20"/>
      <w:u w:val="none"/>
    </w:rPr>
  </w:style>
  <w:style w:type="character" w:customStyle="1" w:styleId="216">
    <w:name w:val="font31"/>
    <w:basedOn w:val="34"/>
    <w:qFormat/>
    <w:uiPriority w:val="0"/>
    <w:rPr>
      <w:rFonts w:ascii="72" w:hAnsi="72" w:eastAsia="72" w:cs="72"/>
      <w:color w:val="000000"/>
      <w:sz w:val="20"/>
      <w:szCs w:val="20"/>
      <w:u w:val="none"/>
    </w:rPr>
  </w:style>
  <w:style w:type="paragraph" w:customStyle="1" w:styleId="217">
    <w:name w:val="Default"/>
    <w:qFormat/>
    <w:uiPriority w:val="0"/>
    <w:pPr>
      <w:widowControl w:val="0"/>
      <w:autoSpaceDE w:val="0"/>
      <w:autoSpaceDN w:val="0"/>
      <w:adjustRightInd w:val="0"/>
      <w:spacing w:after="0" w:line="240" w:lineRule="auto"/>
    </w:pPr>
    <w:rPr>
      <w:rFonts w:ascii="宋体" w:eastAsia="宋体" w:cs="宋体" w:hAnsiTheme="majorHAnsi"/>
      <w:color w:val="000000"/>
      <w:sz w:val="24"/>
      <w:szCs w:val="24"/>
      <w:lang w:val="en-US" w:eastAsia="zh-CN" w:bidi="ar-SA"/>
    </w:rPr>
  </w:style>
  <w:style w:type="character" w:customStyle="1" w:styleId="218">
    <w:name w:val="font01"/>
    <w:basedOn w:val="34"/>
    <w:qFormat/>
    <w:uiPriority w:val="0"/>
    <w:rPr>
      <w:rFonts w:hint="eastAsia" w:ascii="宋体" w:hAnsi="宋体" w:eastAsia="宋体" w:cs="宋体"/>
      <w:color w:val="000000"/>
      <w:sz w:val="22"/>
      <w:szCs w:val="22"/>
      <w:u w:val="none"/>
    </w:rPr>
  </w:style>
  <w:style w:type="paragraph" w:customStyle="1" w:styleId="219">
    <w:name w:val="Other|1"/>
    <w:basedOn w:val="1"/>
    <w:qFormat/>
    <w:uiPriority w:val="0"/>
    <w:pPr>
      <w:ind w:firstLine="420"/>
      <w:jc w:val="left"/>
    </w:pPr>
    <w:rPr>
      <w:rFonts w:ascii="宋体" w:hAnsi="宋体" w:cs="宋体"/>
      <w:kern w:val="0"/>
      <w:sz w:val="20"/>
      <w:szCs w:val="20"/>
      <w:lang w:val="zh-TW" w:eastAsia="zh-TW" w:bidi="zh-TW"/>
    </w:rPr>
  </w:style>
  <w:style w:type="paragraph" w:customStyle="1" w:styleId="220">
    <w:name w:val="Table Text"/>
    <w:basedOn w:val="1"/>
    <w:semiHidden/>
    <w:qFormat/>
    <w:uiPriority w:val="0"/>
    <w:rPr>
      <w:rFonts w:ascii="宋体" w:hAnsi="宋体" w:eastAsia="宋体" w:cs="宋体"/>
      <w:sz w:val="18"/>
      <w:szCs w:val="18"/>
      <w:lang w:val="en-US" w:eastAsia="en-US" w:bidi="ar-SA"/>
    </w:rPr>
  </w:style>
  <w:style w:type="table" w:customStyle="1" w:styleId="221">
    <w:name w:val="Table Normal"/>
    <w:unhideWhenUsed/>
    <w:qFormat/>
    <w:uiPriority w:val="0"/>
    <w:tblPr>
      <w:tblLayout w:type="fixed"/>
      <w:tblCellMar>
        <w:top w:w="0" w:type="dxa"/>
        <w:left w:w="0" w:type="dxa"/>
        <w:bottom w:w="0" w:type="dxa"/>
        <w:right w:w="0" w:type="dxa"/>
      </w:tblCellMar>
    </w:tblPr>
  </w:style>
  <w:style w:type="paragraph" w:customStyle="1" w:styleId="2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5610</Words>
  <Characters>6066</Characters>
  <Lines>12</Lines>
  <Paragraphs>17</Paragraphs>
  <TotalTime>39</TotalTime>
  <ScaleCrop>false</ScaleCrop>
  <LinksUpToDate>false</LinksUpToDate>
  <CharactersWithSpaces>6102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045</cp:lastModifiedBy>
  <dcterms:modified xsi:type="dcterms:W3CDTF">2025-07-14T02:59:25Z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50392405035949F99133AD1E507EB3CB_13</vt:lpwstr>
  </property>
  <property fmtid="{D5CDD505-2E9C-101B-9397-08002B2CF9AE}" pid="4" name="KSOTemplateDocerSaveRecord">
    <vt:lpwstr>eyJoZGlkIjoiMDY0MTM1YmQ5YzYyY2MzYzViYWIwOTc4NGFmODliNTEiLCJ1c2VySWQiOiIzNzExMzcyMTMifQ==</vt:lpwstr>
  </property>
</Properties>
</file>