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00</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77"/>
      <w:bookmarkStart w:id="4" w:name="_Toc461613005"/>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数据安全风险评估服务</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00</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11326093"/>
      <w:bookmarkStart w:id="10" w:name="_Toc516880880"/>
      <w:bookmarkStart w:id="11" w:name="_Toc9066359"/>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数据安全风险评估服务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9066360"/>
      <w:bookmarkStart w:id="13" w:name="_Toc11326094"/>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2"/>
        <w:spacing w:before="50" w:after="50" w:line="360" w:lineRule="auto"/>
        <w:rPr>
          <w:rFonts w:ascii="宋体" w:hAnsi="宋体" w:eastAsia="宋体"/>
          <w:sz w:val="24"/>
          <w:szCs w:val="24"/>
        </w:rPr>
      </w:pPr>
      <w:r>
        <w:rPr>
          <w:rFonts w:hint="eastAsia" w:ascii="宋体" w:hAnsi="宋体" w:eastAsia="宋体"/>
          <w:sz w:val="24"/>
          <w:szCs w:val="24"/>
          <w:lang w:val="en-US" w:eastAsia="zh-CN"/>
        </w:rPr>
        <w:t>一、</w:t>
      </w:r>
      <w:r>
        <w:rPr>
          <w:rFonts w:hint="eastAsia" w:ascii="宋体" w:hAnsi="宋体" w:eastAsia="宋体"/>
          <w:sz w:val="24"/>
          <w:szCs w:val="24"/>
        </w:rPr>
        <w:t>需求</w:t>
      </w:r>
      <w:r>
        <w:rPr>
          <w:rFonts w:ascii="宋体" w:hAnsi="宋体" w:eastAsia="宋体"/>
          <w:sz w:val="24"/>
          <w:szCs w:val="24"/>
        </w:rPr>
        <w:t>目标</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一</w:t>
      </w:r>
      <w:r>
        <w:rPr>
          <w:rFonts w:hint="eastAsia" w:ascii="宋体" w:hAnsi="宋体" w:eastAsia="宋体"/>
          <w:sz w:val="24"/>
          <w:szCs w:val="24"/>
          <w:lang w:eastAsia="zh-CN"/>
        </w:rPr>
        <w:t>）</w:t>
      </w:r>
      <w:r>
        <w:rPr>
          <w:rFonts w:hint="eastAsia" w:ascii="宋体" w:hAnsi="宋体" w:eastAsia="宋体"/>
          <w:sz w:val="24"/>
          <w:szCs w:val="24"/>
        </w:rPr>
        <w:t>风险识别与合规保障</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聚焦数据全生命周期（采集、存储、传输、使用、共享、销毁）的安全风险，识别潜在的数据泄露、篡改、损毁或滥用事件。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确保符合《数据安全法》《个人信息保护法》等法规要求，规避法律风险并符合行业监管要求。</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二</w:t>
      </w:r>
      <w:r>
        <w:rPr>
          <w:rFonts w:hint="eastAsia" w:ascii="宋体" w:hAnsi="宋体" w:eastAsia="宋体"/>
          <w:sz w:val="24"/>
          <w:szCs w:val="24"/>
          <w:lang w:eastAsia="zh-CN"/>
        </w:rPr>
        <w:t>）</w:t>
      </w:r>
      <w:r>
        <w:rPr>
          <w:rFonts w:hint="eastAsia" w:ascii="宋体" w:hAnsi="宋体" w:eastAsia="宋体"/>
          <w:sz w:val="24"/>
          <w:szCs w:val="24"/>
        </w:rPr>
        <w:t>技术措施有效性验证</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评估数据加密、脱敏、访问控制、备份恢复等技术措施的实施效果，识别防御薄弱环节。</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三</w:t>
      </w:r>
      <w:r>
        <w:rPr>
          <w:rFonts w:hint="eastAsia" w:ascii="宋体" w:hAnsi="宋体" w:eastAsia="宋体"/>
          <w:sz w:val="24"/>
          <w:szCs w:val="24"/>
          <w:lang w:eastAsia="zh-CN"/>
        </w:rPr>
        <w:t>）</w:t>
      </w:r>
      <w:r>
        <w:rPr>
          <w:rFonts w:hint="eastAsia" w:ascii="宋体" w:hAnsi="宋体" w:eastAsia="宋体"/>
          <w:sz w:val="24"/>
          <w:szCs w:val="24"/>
        </w:rPr>
        <w:t>管理优化与决策支持</w:t>
      </w:r>
    </w:p>
    <w:p>
      <w:pPr>
        <w:spacing w:before="156" w:beforeLines="50" w:after="156" w:afterLines="50" w:line="360" w:lineRule="auto"/>
        <w:ind w:firstLine="480" w:firstLineChars="200"/>
        <w:rPr>
          <w:rFonts w:ascii="宋体" w:hAnsi="宋体" w:eastAsia="宋体"/>
          <w:sz w:val="21"/>
          <w:szCs w:val="21"/>
        </w:rPr>
      </w:pPr>
      <w:r>
        <w:rPr>
          <w:rFonts w:hint="eastAsia" w:ascii="宋体" w:hAnsi="宋体" w:eastAsia="宋体"/>
          <w:sz w:val="24"/>
          <w:szCs w:val="24"/>
        </w:rPr>
        <w:t>结合医院业务场景输出定制化整改方案，优化数据安全管理制度与流程。</w:t>
      </w:r>
    </w:p>
    <w:p>
      <w:pPr>
        <w:pStyle w:val="2"/>
        <w:spacing w:before="156" w:beforeLines="50" w:after="156" w:afterLines="50" w:line="360" w:lineRule="auto"/>
        <w:rPr>
          <w:rFonts w:ascii="宋体" w:hAnsi="宋体" w:eastAsia="宋体"/>
          <w:sz w:val="24"/>
          <w:szCs w:val="24"/>
        </w:rPr>
      </w:pPr>
      <w:r>
        <w:rPr>
          <w:rFonts w:hint="eastAsia" w:ascii="宋体" w:hAnsi="宋体" w:eastAsia="宋体"/>
          <w:sz w:val="24"/>
          <w:szCs w:val="24"/>
          <w:lang w:val="en-US" w:eastAsia="zh-CN"/>
        </w:rPr>
        <w:t>二、</w:t>
      </w:r>
      <w:r>
        <w:rPr>
          <w:rFonts w:hint="eastAsia" w:ascii="宋体" w:hAnsi="宋体" w:eastAsia="宋体"/>
          <w:sz w:val="24"/>
          <w:szCs w:val="24"/>
        </w:rPr>
        <w:t xml:space="preserve"> 招标需求</w:t>
      </w: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服务原则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1.保密原则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对安全服务的过程和结果应严格保密并签署保密协议，未经招标人授权不得泄露给任何单位和个人，不得利用此数据进行任何侵害招标人权益的行为。</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2.可控性原则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服务所使用的工具、方法和过程要在双方认可的范围之内，服务进度应遵守进度表的安排，保证服务工作的可控性。</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3.最小影响原则</w:t>
      </w:r>
    </w:p>
    <w:p>
      <w:pPr>
        <w:spacing w:before="50" w:after="50"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服务工作应尽可能小的影响网络信息系统的正常运行，不能对现有业务的正常提供造成显著影响（包括但不限于系统性能明显下降、网络拥塞、服务中断等，如无法避免出现这些情况应在方案中详细描述并告知招标人）。</w:t>
      </w:r>
    </w:p>
    <w:p>
      <w:pPr>
        <w:keepNext/>
        <w:keepLines/>
        <w:numPr>
          <w:ilvl w:val="0"/>
          <w:numId w:val="0"/>
        </w:numPr>
        <w:spacing w:before="260" w:after="260" w:line="240" w:lineRule="auto"/>
        <w:ind w:firstLine="482" w:firstLineChars="200"/>
        <w:jc w:val="both"/>
        <w:outlineLvl w:val="0"/>
        <w:rPr>
          <w:rFonts w:hint="eastAsia" w:ascii="宋体" w:hAnsi="宋体" w:eastAsia="宋体" w:cs="宋体"/>
          <w:b/>
          <w:kern w:val="44"/>
          <w:sz w:val="24"/>
          <w:szCs w:val="24"/>
          <w:lang w:val="en-US" w:eastAsia="zh-CN" w:bidi="ar-SA"/>
        </w:rPr>
      </w:pPr>
      <w:r>
        <w:rPr>
          <w:rFonts w:hint="eastAsia" w:ascii="宋体" w:hAnsi="宋体" w:eastAsia="宋体" w:cs="宋体"/>
          <w:b/>
          <w:kern w:val="44"/>
          <w:sz w:val="24"/>
          <w:szCs w:val="24"/>
          <w:lang w:val="en-US" w:eastAsia="zh-CN" w:bidi="ar-SA"/>
        </w:rPr>
        <w:t>（二）项目内容</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718"/>
        <w:gridCol w:w="17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jc w:val="center"/>
              <w:rPr>
                <w:rFonts w:hint="eastAsia" w:ascii="宋体" w:hAnsi="宋体" w:cs="宋体"/>
                <w:b/>
                <w:szCs w:val="21"/>
                <w:highlight w:val="none"/>
              </w:rPr>
            </w:pPr>
            <w:bookmarkStart w:id="14" w:name="_Toc11326096"/>
            <w:r>
              <w:rPr>
                <w:rFonts w:hint="eastAsia" w:ascii="宋体" w:hAnsi="宋体" w:cs="宋体"/>
                <w:b/>
                <w:szCs w:val="21"/>
                <w:highlight w:val="none"/>
              </w:rPr>
              <w:t>序号</w:t>
            </w:r>
          </w:p>
        </w:tc>
        <w:tc>
          <w:tcPr>
            <w:tcW w:w="2168"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lang w:val="en-US" w:eastAsia="zh-CN"/>
              </w:rPr>
              <w:t>采购</w:t>
            </w:r>
            <w:r>
              <w:rPr>
                <w:rFonts w:hint="eastAsia" w:ascii="宋体" w:hAnsi="宋体" w:cs="宋体"/>
                <w:b/>
                <w:szCs w:val="21"/>
                <w:highlight w:val="none"/>
              </w:rPr>
              <w:t>要求</w:t>
            </w:r>
          </w:p>
        </w:tc>
        <w:tc>
          <w:tcPr>
            <w:tcW w:w="4718" w:type="dxa"/>
            <w:noWrap w:val="0"/>
            <w:vAlign w:val="center"/>
          </w:tcPr>
          <w:p>
            <w:pPr>
              <w:jc w:val="center"/>
              <w:rPr>
                <w:rFonts w:hint="default" w:ascii="宋体" w:hAnsi="宋体" w:cs="宋体"/>
                <w:b/>
                <w:szCs w:val="21"/>
                <w:highlight w:val="none"/>
                <w:lang w:val="en-US" w:eastAsia="zh-CN"/>
              </w:rPr>
            </w:pPr>
            <w:r>
              <w:rPr>
                <w:rFonts w:hint="eastAsia" w:ascii="宋体" w:hAnsi="宋体" w:cs="宋体"/>
                <w:b/>
                <w:szCs w:val="21"/>
                <w:highlight w:val="none"/>
                <w:lang w:val="en-US" w:eastAsia="zh-CN"/>
              </w:rPr>
              <w:t>指标要求</w:t>
            </w:r>
          </w:p>
        </w:tc>
        <w:tc>
          <w:tcPr>
            <w:tcW w:w="1700"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lang w:val="en-US" w:eastAsia="zh-CN"/>
              </w:rPr>
              <w:t>供应商</w:t>
            </w:r>
            <w:r>
              <w:rPr>
                <w:rFonts w:hint="eastAsia" w:ascii="宋体" w:hAnsi="宋体" w:cs="宋体"/>
                <w:b/>
                <w:szCs w:val="21"/>
                <w:highlight w:val="none"/>
              </w:rPr>
              <w:t>响应</w:t>
            </w:r>
          </w:p>
        </w:tc>
        <w:tc>
          <w:tcPr>
            <w:tcW w:w="1164"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一</w:t>
            </w:r>
          </w:p>
        </w:tc>
        <w:tc>
          <w:tcPr>
            <w:tcW w:w="2168" w:type="dxa"/>
            <w:noWrap w:val="0"/>
            <w:vAlign w:val="center"/>
          </w:tcPr>
          <w:p>
            <w:pPr>
              <w:widowControl/>
              <w:textAlignment w:val="cente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总体要求</w:t>
            </w:r>
          </w:p>
        </w:tc>
        <w:tc>
          <w:tcPr>
            <w:tcW w:w="7582" w:type="dxa"/>
            <w:gridSpan w:val="3"/>
            <w:noWrap w:val="0"/>
            <w:vAlign w:val="center"/>
          </w:tcPr>
          <w:p>
            <w:pP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w:t>
            </w:r>
          </w:p>
        </w:tc>
        <w:tc>
          <w:tcPr>
            <w:tcW w:w="2168" w:type="dxa"/>
            <w:noWrap w:val="0"/>
            <w:vAlign w:val="center"/>
          </w:tcPr>
          <w:p>
            <w:pPr>
              <w:widowControl/>
              <w:spacing w:line="240" w:lineRule="auto"/>
              <w:textAlignment w:val="center"/>
              <w:rPr>
                <w:rStyle w:val="211"/>
                <w:rFonts w:hint="eastAsia" w:ascii="宋体" w:hAnsi="宋体" w:eastAsia="宋体" w:cs="宋体"/>
                <w:sz w:val="21"/>
                <w:szCs w:val="21"/>
                <w:highlight w:val="none"/>
                <w:lang w:val="en-US" w:eastAsia="zh-CN" w:bidi="ar"/>
              </w:rPr>
            </w:pPr>
            <w:r>
              <w:rPr>
                <w:rStyle w:val="211"/>
                <w:rFonts w:hint="eastAsia" w:ascii="宋体" w:hAnsi="宋体" w:eastAsia="宋体" w:cs="宋体"/>
                <w:sz w:val="21"/>
                <w:szCs w:val="21"/>
                <w:highlight w:val="none"/>
                <w:lang w:bidi="ar"/>
              </w:rPr>
              <w:t>设备名称：</w:t>
            </w:r>
            <w:r>
              <w:rPr>
                <w:rStyle w:val="211"/>
                <w:rFonts w:hint="eastAsia" w:ascii="宋体" w:hAnsi="宋体" w:eastAsia="宋体" w:cs="宋体"/>
                <w:sz w:val="21"/>
                <w:szCs w:val="21"/>
                <w:highlight w:val="none"/>
                <w:lang w:val="en-US" w:eastAsia="zh-CN" w:bidi="ar"/>
              </w:rPr>
              <w:t>数据安全风险评估服务</w:t>
            </w:r>
          </w:p>
        </w:tc>
        <w:tc>
          <w:tcPr>
            <w:tcW w:w="4718" w:type="dxa"/>
            <w:noWrap w:val="0"/>
            <w:vAlign w:val="center"/>
          </w:tcPr>
          <w:p>
            <w:pPr>
              <w:spacing w:line="240" w:lineRule="auto"/>
              <w:rPr>
                <w:rFonts w:hint="eastAsia" w:ascii="宋体" w:hAnsi="宋体" w:eastAsia="宋体" w:cs="宋体"/>
                <w:b/>
                <w:sz w:val="21"/>
                <w:szCs w:val="21"/>
                <w:highlight w:val="none"/>
              </w:rPr>
            </w:pPr>
            <w:r>
              <w:rPr>
                <w:rFonts w:hint="eastAsia" w:ascii="宋体" w:hAnsi="宋体" w:eastAsia="宋体" w:cs="宋体"/>
                <w:color w:val="000000"/>
                <w:kern w:val="0"/>
                <w:sz w:val="21"/>
                <w:szCs w:val="21"/>
              </w:rPr>
              <w:t>对单位重要系统开展数据安全风险评估，依据《数据安全风险评估方法》采用科学的评估方法进行评估，出具数据安全风险评估报告并提供整改建议方案</w:t>
            </w:r>
          </w:p>
        </w:tc>
        <w:tc>
          <w:tcPr>
            <w:tcW w:w="1700" w:type="dxa"/>
            <w:noWrap w:val="0"/>
            <w:vAlign w:val="center"/>
          </w:tcPr>
          <w:p>
            <w:pPr>
              <w:rPr>
                <w:rFonts w:hint="eastAsia" w:ascii="宋体" w:hAnsi="宋体" w:cs="宋体"/>
                <w:b/>
                <w:szCs w:val="21"/>
                <w:highlight w:val="none"/>
              </w:rPr>
            </w:pPr>
          </w:p>
        </w:tc>
        <w:tc>
          <w:tcPr>
            <w:tcW w:w="1164" w:type="dxa"/>
            <w:noWrap w:val="0"/>
            <w:vAlign w:val="center"/>
          </w:tcPr>
          <w:p>
            <w:pP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2</w:t>
            </w:r>
          </w:p>
        </w:tc>
        <w:tc>
          <w:tcPr>
            <w:tcW w:w="2168" w:type="dxa"/>
            <w:noWrap w:val="0"/>
            <w:vAlign w:val="center"/>
          </w:tcPr>
          <w:p>
            <w:pPr>
              <w:widowControl/>
              <w:spacing w:line="240" w:lineRule="auto"/>
              <w:textAlignment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交货期</w:t>
            </w:r>
          </w:p>
        </w:tc>
        <w:tc>
          <w:tcPr>
            <w:tcW w:w="4718" w:type="dxa"/>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合同签订后</w:t>
            </w:r>
            <w:r>
              <w:rPr>
                <w:rFonts w:hint="eastAsia" w:ascii="宋体" w:hAnsi="宋体" w:eastAsia="宋体" w:cs="宋体"/>
                <w:color w:val="000000"/>
                <w:kern w:val="0"/>
                <w:sz w:val="21"/>
                <w:szCs w:val="21"/>
                <w:highlight w:val="none"/>
                <w:lang w:val="en-US" w:eastAsia="zh-CN" w:bidi="ar"/>
              </w:rPr>
              <w:t>180</w:t>
            </w:r>
            <w:r>
              <w:rPr>
                <w:rFonts w:hint="eastAsia" w:ascii="宋体" w:hAnsi="宋体" w:eastAsia="宋体" w:cs="宋体"/>
                <w:color w:val="000000"/>
                <w:kern w:val="0"/>
                <w:sz w:val="21"/>
                <w:szCs w:val="21"/>
                <w:highlight w:val="none"/>
                <w:lang w:bidi="ar"/>
              </w:rPr>
              <w:t>天内指定地点交货</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w:t>
            </w:r>
          </w:p>
        </w:tc>
        <w:tc>
          <w:tcPr>
            <w:tcW w:w="2168" w:type="dxa"/>
            <w:noWrap w:val="0"/>
            <w:vAlign w:val="center"/>
          </w:tcPr>
          <w:p>
            <w:pPr>
              <w:widowControl/>
              <w:spacing w:line="240" w:lineRule="auto"/>
              <w:textAlignment w:val="center"/>
              <w:rPr>
                <w:rFonts w:hint="eastAsia" w:ascii="宋体" w:hAnsi="宋体" w:eastAsia="宋体" w:cs="宋体"/>
                <w:b w:val="0"/>
                <w:bCs w:val="0"/>
                <w:sz w:val="21"/>
                <w:szCs w:val="21"/>
                <w:highlight w:val="none"/>
              </w:rPr>
            </w:pPr>
            <w:r>
              <w:rPr>
                <w:rFonts w:hint="eastAsia" w:ascii="宋体" w:hAnsi="宋体" w:eastAsia="宋体" w:cs="宋体"/>
                <w:b/>
                <w:bCs/>
                <w:color w:val="000000" w:themeColor="text1"/>
                <w:kern w:val="0"/>
                <w:sz w:val="21"/>
                <w:szCs w:val="21"/>
                <w:lang w:bidi="ar"/>
              </w:rPr>
              <w:t>指标要求</w:t>
            </w:r>
          </w:p>
        </w:tc>
        <w:tc>
          <w:tcPr>
            <w:tcW w:w="7582" w:type="dxa"/>
            <w:gridSpan w:val="3"/>
            <w:noWrap w:val="0"/>
            <w:vAlign w:val="center"/>
          </w:tcPr>
          <w:p>
            <w:pPr>
              <w:spacing w:line="240" w:lineRule="auto"/>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1</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服务期限及频率</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服务期为</w:t>
            </w:r>
            <w:r>
              <w:rPr>
                <w:rFonts w:hint="eastAsia" w:ascii="宋体" w:hAnsi="宋体" w:eastAsia="宋体" w:cs="宋体"/>
                <w:color w:val="000000" w:themeColor="text1"/>
                <w:kern w:val="0"/>
                <w:sz w:val="21"/>
                <w:szCs w:val="21"/>
                <w:lang w:val="en-US" w:eastAsia="zh-CN" w:bidi="ar"/>
              </w:rPr>
              <w:t>20250701至20260630</w:t>
            </w:r>
            <w:r>
              <w:rPr>
                <w:rFonts w:hint="eastAsia" w:ascii="宋体" w:hAnsi="宋体" w:eastAsia="宋体" w:cs="宋体"/>
                <w:color w:val="000000" w:themeColor="text1"/>
                <w:kern w:val="0"/>
                <w:sz w:val="21"/>
                <w:szCs w:val="21"/>
                <w:lang w:bidi="ar"/>
              </w:rPr>
              <w:t>，提供</w:t>
            </w:r>
            <w:r>
              <w:rPr>
                <w:rFonts w:hint="eastAsia" w:ascii="宋体" w:hAnsi="宋体" w:eastAsia="宋体" w:cs="宋体"/>
                <w:color w:val="000000" w:themeColor="text1"/>
                <w:kern w:val="0"/>
                <w:sz w:val="21"/>
                <w:szCs w:val="21"/>
                <w:lang w:val="en-US" w:eastAsia="zh-CN" w:bidi="ar"/>
              </w:rPr>
              <w:t>至少</w:t>
            </w:r>
            <w:bookmarkStart w:id="61" w:name="_GoBack"/>
            <w:bookmarkEnd w:id="61"/>
            <w:r>
              <w:rPr>
                <w:rFonts w:hint="eastAsia" w:ascii="宋体" w:hAnsi="宋体" w:eastAsia="宋体" w:cs="宋体"/>
                <w:color w:val="000000" w:themeColor="text1"/>
                <w:kern w:val="0"/>
                <w:sz w:val="21"/>
                <w:szCs w:val="21"/>
                <w:lang w:bidi="ar"/>
              </w:rPr>
              <w:t>1次数据安全风险评估服务</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2</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服务范围</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核心业务系统</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3</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服务内容</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依据数据安全风险评估方法征求意见稿、网络数据安全风险评估实施指引对用户系统进行数据安全风险评估，包含资产调研、业务流程梳理、评估实施，报告输出、整改建议方案等</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4</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0"/>
                <w:sz w:val="21"/>
                <w:szCs w:val="21"/>
                <w:lang w:bidi="ar"/>
              </w:rPr>
              <w:t>服务要求</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数据安全风险评估主要包括信息调研、 风险识别、 风险分析与评价等， 数据安全风险评估的主要内容包括：</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a) 信息调研</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对可能影响数据安全风险的要素的情况调研，包括数据处理者、业务和信息系统、数据资产、数据处理活动、数据安全防护措施。掌握数据处理者、业务和信息系统基本情况，梳理涉及的数据资产和数据处理活动了解采取的数据安全防护措施情况，掌握被评估对象或同行业相关数据安全事件历史发生情况。</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b) 风险识别</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基于信息调研情况，从数据安全管理、数据处理活动安全、数据安全技术、 个人信息保护等方面进行数据安全风险识别，识别评估对象现有安全措施完备性并对其有效性进行验证，识别可能存在的风险源。</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c) 风险分析与评价</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通过分析风险类型、风险危害程度和可能性，评价风险等级。</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 数据安全风险分析，包括数据安全风险归类、风险危害程度分析、风险发生可能性分析。</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 风险归类分析，结合风险源可能引发的风险类型，对风险源进行归类。</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 风险危害程度分析，从数据价值、数据重要性、风险源危害程度等方面，综合评价风险可能对国家安全、公共利益或者个人、组织合法权益造成的危害程度。</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 风险发生可能性，从风险源发生频率、安全措施有效性和完备性、风险源关联性等方面，综合评价风险发生的可能性。</w:t>
            </w:r>
          </w:p>
          <w:p>
            <w:pPr>
              <w:spacing w:before="156" w:beforeLines="50" w:after="156" w:afterLines="50" w:line="24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 风险评价过程，根据风险危害程度和风险发生可能性评价数据安全风险，得到数据安全风险级别，梳理形成数据安全风险清单。</w:t>
            </w:r>
          </w:p>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6）报告输出，针对分析出的没想风险给出风险评价与等级，针对发现的数据安全问题与风险给出管理、技术等方面的问题整改与风险处置建议。</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pPr>
              <w:spacing w:line="500" w:lineRule="exact"/>
              <w:jc w:val="center"/>
              <w:rPr>
                <w:rFonts w:hint="eastAsia" w:ascii="宋体" w:hAnsi="宋体" w:eastAsia="宋体" w:cs="宋体"/>
                <w:sz w:val="21"/>
                <w:szCs w:val="21"/>
                <w:lang w:val="en-US" w:eastAsia="zh-CN" w:bidi="th-TH"/>
              </w:rPr>
            </w:pPr>
            <w:r>
              <w:rPr>
                <w:rFonts w:hint="eastAsia" w:ascii="宋体" w:hAnsi="宋体" w:eastAsia="宋体" w:cs="宋体"/>
                <w:sz w:val="21"/>
                <w:szCs w:val="21"/>
                <w:lang w:val="en-US" w:eastAsia="zh-CN" w:bidi="th-TH"/>
              </w:rPr>
              <w:t>5</w:t>
            </w:r>
          </w:p>
        </w:tc>
        <w:tc>
          <w:tcPr>
            <w:tcW w:w="2168" w:type="dxa"/>
            <w:noWrap w:val="0"/>
            <w:vAlign w:val="center"/>
          </w:tcPr>
          <w:p>
            <w:pPr>
              <w:spacing w:before="156" w:beforeLines="50" w:after="156" w:afterLines="50" w:line="240" w:lineRule="auto"/>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Times New Roman"/>
                <w:sz w:val="24"/>
                <w:szCs w:val="20"/>
                <w:highlight w:val="none"/>
              </w:rPr>
              <w:t>★</w:t>
            </w:r>
            <w:r>
              <w:rPr>
                <w:rFonts w:hint="eastAsia" w:ascii="宋体" w:hAnsi="宋体" w:eastAsia="宋体" w:cs="宋体"/>
                <w:color w:val="000000" w:themeColor="text1"/>
                <w:kern w:val="0"/>
                <w:sz w:val="21"/>
                <w:szCs w:val="21"/>
                <w:lang w:bidi="ar"/>
              </w:rPr>
              <w:t>交付物</w:t>
            </w:r>
          </w:p>
        </w:tc>
        <w:tc>
          <w:tcPr>
            <w:tcW w:w="4718" w:type="dxa"/>
            <w:noWrap w:val="0"/>
            <w:vAlign w:val="center"/>
          </w:tcPr>
          <w:p>
            <w:pPr>
              <w:spacing w:before="156" w:beforeLines="50" w:after="156" w:afterLines="50" w:line="24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sz w:val="21"/>
                <w:szCs w:val="21"/>
              </w:rPr>
              <w:t>《数据安全风险评估报告》</w:t>
            </w:r>
          </w:p>
        </w:tc>
        <w:tc>
          <w:tcPr>
            <w:tcW w:w="1700" w:type="dxa"/>
            <w:noWrap w:val="0"/>
            <w:vAlign w:val="center"/>
          </w:tcPr>
          <w:p>
            <w:pPr>
              <w:rPr>
                <w:rFonts w:hint="eastAsia" w:ascii="宋体" w:hAnsi="宋体" w:cs="宋体"/>
                <w:szCs w:val="21"/>
                <w:highlight w:val="none"/>
              </w:rPr>
            </w:pPr>
          </w:p>
        </w:tc>
        <w:tc>
          <w:tcPr>
            <w:tcW w:w="1164" w:type="dxa"/>
            <w:noWrap w:val="0"/>
            <w:vAlign w:val="center"/>
          </w:tcPr>
          <w:p>
            <w:pPr>
              <w:rPr>
                <w:rFonts w:hint="eastAsia" w:ascii="宋体" w:hAnsi="宋体" w:cs="宋体"/>
                <w:szCs w:val="21"/>
                <w:highlight w:val="none"/>
              </w:rPr>
            </w:pPr>
          </w:p>
        </w:tc>
      </w:tr>
    </w:tbl>
    <w:p>
      <w:pPr>
        <w:jc w:val="both"/>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宋体" w:hAnsi="宋体" w:eastAsia="宋体" w:cs="Times New Roman"/>
          <w:b/>
          <w:sz w:val="40"/>
          <w:szCs w:val="40"/>
          <w:highlight w:val="none"/>
          <w:lang w:val="en-US" w:eastAsia="zh-CN"/>
        </w:rPr>
        <w:t>数据安全风险评估服务</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458971242"/>
      <w:bookmarkStart w:id="16" w:name="_Toc457748049"/>
      <w:bookmarkStart w:id="17" w:name="_Toc392227906"/>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52691655"/>
      <w:bookmarkStart w:id="19" w:name="_Toc7039"/>
      <w:bookmarkStart w:id="20" w:name="_Toc369531691"/>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69531692"/>
      <w:bookmarkStart w:id="22" w:name="_Toc6931"/>
      <w:bookmarkStart w:id="23" w:name="_Toc352691656"/>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数据安全风险评估服务</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69531694"/>
      <w:bookmarkStart w:id="25" w:name="_Toc1187"/>
      <w:bookmarkStart w:id="26" w:name="_Toc352691658"/>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369531695"/>
      <w:bookmarkStart w:id="28" w:name="_Toc352691659"/>
      <w:bookmarkStart w:id="29" w:name="_Toc16568"/>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16824"/>
      <w:bookmarkStart w:id="31" w:name="_Toc369531696"/>
      <w:bookmarkStart w:id="32" w:name="_Toc352691660"/>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144974856"/>
      <w:bookmarkStart w:id="34" w:name="_Toc152042576"/>
      <w:bookmarkStart w:id="35" w:name="_Toc300835209"/>
      <w:bookmarkStart w:id="36" w:name="_Toc152045787"/>
      <w:bookmarkStart w:id="37" w:name="_Toc369531697"/>
      <w:bookmarkStart w:id="38" w:name="_Toc247514246"/>
      <w:bookmarkStart w:id="39" w:name="_Toc361508752"/>
      <w:bookmarkStart w:id="40" w:name="_Toc247527827"/>
      <w:bookmarkStart w:id="41" w:name="_Toc352691661"/>
      <w:bookmarkStart w:id="42" w:name="_Toc384308375"/>
      <w:bookmarkStart w:id="43" w:name="_Toc17960"/>
      <w:r>
        <w:rPr>
          <w:rFonts w:hint="eastAsia" w:ascii="宋体" w:hAnsi="宋体" w:eastAsia="宋体" w:cs="Times New Roman"/>
          <w:b/>
          <w:sz w:val="24"/>
          <w:szCs w:val="24"/>
          <w:highlight w:val="none"/>
        </w:rPr>
        <w:br w:type="page"/>
      </w:r>
      <w:bookmarkStart w:id="44" w:name="_Toc458971245"/>
      <w:bookmarkStart w:id="45" w:name="_Toc457748054"/>
      <w:bookmarkStart w:id="46" w:name="_Toc392227908"/>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_Toc458971246"/>
      <w:bookmarkStart w:id="49" w:name="OLE_LINK1"/>
      <w:bookmarkStart w:id="50" w:name="OLE_LINK2"/>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数据安全风险评估服务</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数据安全风险评估服务</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457748057"/>
      <w:bookmarkStart w:id="52" w:name="_Toc458971250"/>
      <w:bookmarkStart w:id="53" w:name="_Toc392227913"/>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8971251"/>
      <w:bookmarkStart w:id="55" w:name="_Toc392227915"/>
      <w:bookmarkStart w:id="56" w:name="_Toc457748058"/>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392227916"/>
      <w:bookmarkStart w:id="58" w:name="_Toc457748059"/>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4"/>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4"/>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4"/>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5"/>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7B6127B"/>
    <w:rsid w:val="28787F75"/>
    <w:rsid w:val="2ADF50F8"/>
    <w:rsid w:val="3AD547B2"/>
    <w:rsid w:val="3D5501C4"/>
    <w:rsid w:val="5C6240FA"/>
    <w:rsid w:val="5DE8171B"/>
    <w:rsid w:val="645F409A"/>
    <w:rsid w:val="66F931CB"/>
    <w:rsid w:val="6F0108ED"/>
    <w:rsid w:val="6F0A1AA0"/>
    <w:rsid w:val="74E65469"/>
    <w:rsid w:val="79CD0AA0"/>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5880</Words>
  <Characters>6350</Characters>
  <Lines>53</Lines>
  <Paragraphs>15</Paragraphs>
  <TotalTime>9</TotalTime>
  <ScaleCrop>false</ScaleCrop>
  <LinksUpToDate>false</LinksUpToDate>
  <CharactersWithSpaces>7471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2025-04-27T05:58:44Z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