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00</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信息安全风险评估服务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00</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9066359"/>
      <w:bookmarkStart w:id="10" w:name="_Toc11326093"/>
      <w:bookmarkStart w:id="11"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信息安全风险评估服务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numPr>
          <w:ilvl w:val="0"/>
          <w:numId w:val="4"/>
        </w:numPr>
        <w:spacing w:before="156" w:beforeLines="50" w:after="156" w:afterLines="50" w:line="360" w:lineRule="auto"/>
        <w:ind w:left="0" w:leftChars="0" w:firstLine="420" w:firstLineChars="0"/>
        <w:rPr>
          <w:rFonts w:ascii="宋体" w:hAnsi="宋体" w:eastAsia="宋体"/>
          <w:sz w:val="24"/>
          <w:szCs w:val="24"/>
        </w:rPr>
      </w:pPr>
      <w:r>
        <w:rPr>
          <w:rFonts w:hint="eastAsia" w:ascii="宋体" w:hAnsi="宋体" w:eastAsia="宋体"/>
          <w:sz w:val="24"/>
          <w:szCs w:val="24"/>
        </w:rPr>
        <w:t>建立信息安全风险评估体系</w:t>
      </w:r>
    </w:p>
    <w:p>
      <w:pPr>
        <w:numPr>
          <w:ilvl w:val="0"/>
          <w:numId w:val="0"/>
        </w:numPr>
        <w:spacing w:before="156" w:beforeLines="50" w:after="156" w:afterLines="50" w:line="360" w:lineRule="auto"/>
        <w:ind w:left="420" w:leftChars="0"/>
        <w:rPr>
          <w:rFonts w:ascii="宋体" w:hAnsi="宋体" w:eastAsia="宋体"/>
          <w:sz w:val="24"/>
          <w:szCs w:val="24"/>
        </w:rPr>
      </w:pPr>
      <w:r>
        <w:rPr>
          <w:rFonts w:hint="eastAsia" w:ascii="宋体" w:hAnsi="宋体" w:eastAsia="宋体"/>
          <w:sz w:val="24"/>
          <w:szCs w:val="24"/>
        </w:rPr>
        <w:t>通过系统化评估，识别医院核心业务系统、网络架构、数据资产及第三方服务中的安全风险，形成可量化、可追溯的风险评估报告，为后续整改提供依据。</w:t>
      </w:r>
    </w:p>
    <w:p>
      <w:pPr>
        <w:numPr>
          <w:ilvl w:val="0"/>
          <w:numId w:val="4"/>
        </w:numPr>
        <w:spacing w:before="156" w:beforeLines="50" w:after="156" w:afterLines="50" w:line="360" w:lineRule="auto"/>
        <w:ind w:left="0" w:leftChars="0" w:firstLine="420" w:firstLineChars="0"/>
        <w:rPr>
          <w:rFonts w:ascii="宋体" w:hAnsi="宋体" w:eastAsia="宋体"/>
          <w:sz w:val="24"/>
          <w:szCs w:val="24"/>
        </w:rPr>
      </w:pPr>
      <w:r>
        <w:rPr>
          <w:rFonts w:hint="eastAsia" w:ascii="宋体" w:hAnsi="宋体" w:eastAsia="宋体"/>
          <w:sz w:val="24"/>
          <w:szCs w:val="24"/>
        </w:rPr>
        <w:t>满足合规性要求</w:t>
      </w:r>
    </w:p>
    <w:p>
      <w:pPr>
        <w:numPr>
          <w:ilvl w:val="0"/>
          <w:numId w:val="0"/>
        </w:numPr>
        <w:spacing w:before="156" w:beforeLines="50" w:after="156" w:afterLines="50" w:line="360" w:lineRule="auto"/>
        <w:ind w:left="420" w:leftChars="0"/>
        <w:rPr>
          <w:rFonts w:ascii="宋体" w:hAnsi="宋体" w:eastAsia="宋体"/>
          <w:sz w:val="24"/>
          <w:szCs w:val="24"/>
        </w:rPr>
      </w:pPr>
      <w:r>
        <w:rPr>
          <w:rFonts w:hint="eastAsia" w:ascii="宋体" w:hAnsi="宋体" w:eastAsia="宋体"/>
          <w:sz w:val="24"/>
          <w:szCs w:val="24"/>
        </w:rPr>
        <w:t>确保医院数据安全与信息安全管理工作符合国家法律法规、行业规范（如等保</w:t>
      </w:r>
      <w:r>
        <w:rPr>
          <w:rFonts w:ascii="宋体" w:hAnsi="宋体" w:eastAsia="宋体"/>
          <w:sz w:val="24"/>
          <w:szCs w:val="24"/>
        </w:rPr>
        <w:t>2.0三级要求、健康医疗数据安全指南等）及上级主管部门监管要求。</w:t>
      </w:r>
    </w:p>
    <w:p>
      <w:pPr>
        <w:numPr>
          <w:ilvl w:val="0"/>
          <w:numId w:val="4"/>
        </w:numPr>
        <w:spacing w:before="156" w:beforeLines="50" w:after="156" w:afterLines="50" w:line="360" w:lineRule="auto"/>
        <w:ind w:left="0" w:leftChars="0" w:firstLine="420" w:firstLineChars="0"/>
        <w:rPr>
          <w:rFonts w:ascii="宋体" w:hAnsi="宋体" w:eastAsia="宋体"/>
          <w:sz w:val="24"/>
          <w:szCs w:val="24"/>
        </w:rPr>
      </w:pPr>
      <w:r>
        <w:rPr>
          <w:rFonts w:hint="eastAsia" w:ascii="宋体" w:hAnsi="宋体" w:eastAsia="宋体"/>
          <w:sz w:val="24"/>
          <w:szCs w:val="24"/>
        </w:rPr>
        <w:t>提升风险防控能力</w:t>
      </w:r>
    </w:p>
    <w:p>
      <w:pPr>
        <w:numPr>
          <w:ilvl w:val="0"/>
          <w:numId w:val="0"/>
        </w:numPr>
        <w:spacing w:before="156" w:beforeLines="50" w:after="156" w:afterLines="50" w:line="360" w:lineRule="auto"/>
        <w:ind w:left="420" w:leftChars="0"/>
        <w:rPr>
          <w:rFonts w:ascii="宋体" w:hAnsi="宋体" w:eastAsia="宋体"/>
          <w:sz w:val="24"/>
          <w:szCs w:val="24"/>
        </w:rPr>
      </w:pPr>
      <w:r>
        <w:rPr>
          <w:rFonts w:hint="eastAsia" w:ascii="宋体" w:hAnsi="宋体" w:eastAsia="宋体"/>
          <w:sz w:val="24"/>
          <w:szCs w:val="24"/>
        </w:rPr>
        <w:t>制定针对性风险处置策略，优化安全技术措施与管理流程，降低数据泄露、系统瘫痪等安全事件发生的可能性，保障医疗业务连续性。</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rPr>
        <w:t xml:space="preserve"> 招标需求</w:t>
      </w:r>
    </w:p>
    <w:p>
      <w:pPr>
        <w:pStyle w:val="3"/>
        <w:spacing w:before="156" w:beforeLines="50" w:after="156" w:afterLines="50"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.1服务</w:t>
      </w:r>
      <w:r>
        <w:rPr>
          <w:rFonts w:hint="eastAsia" w:ascii="宋体" w:hAnsi="宋体" w:eastAsia="宋体"/>
          <w:sz w:val="24"/>
          <w:szCs w:val="24"/>
        </w:rPr>
        <w:t>原则</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1）保密原则</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对安全服务的过程和结果应严格保密并签署保密协议，未经招标人授权不得泄露给任何单位和个人，不得利用此数据进行任何侵害招标人权益的行为。</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2）可控性原则</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服务所使用的工具、方法和过程要在双方认可的范围之内，服务进度应遵守进度表的安排，保证服务工作的可控性。</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3）最小影响原则</w:t>
      </w:r>
    </w:p>
    <w:p>
      <w:pPr>
        <w:spacing w:before="50" w:after="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服务工作应尽可能小的影响网络信息系统的正常运行，不能对现有业务的正常提供造成显著影响（包括但不限于系统性能明显下降、网络拥塞、服务中断等，如无法避免出现这些情况应在方案中详细描述并告知招标人）。</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服务原则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1.保密原则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对安全服务的过程和结果应严格保密并签署保密协议，未经招标人授权不得泄露给任何单位和个人，不得利用此数据进行任何侵害招标人权益的行为。</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2.可控性原则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服务所使用的工具、方法和过程要在双方认可的范围之内，服务进度应遵守进度表的安排，保证服务工作的可控性。</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3.最小影响原则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工作应尽可能小的影响网络信息系统的正常运行，不能对现有业务的正常提供造成显著影响（包括但不限于系统性能明显下降、网络拥塞、服务中断等，如无法避免出现这些情况应在方案中详细描述并告知招标人）。</w:t>
      </w:r>
    </w:p>
    <w:p>
      <w:pPr>
        <w:keepNext/>
        <w:keepLines/>
        <w:numPr>
          <w:ilvl w:val="0"/>
          <w:numId w:val="0"/>
        </w:numPr>
        <w:spacing w:before="260" w:after="260" w:line="240" w:lineRule="auto"/>
        <w:ind w:firstLine="482" w:firstLineChars="200"/>
        <w:jc w:val="both"/>
        <w:outlineLvl w:val="0"/>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（二）项目内容</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cs="宋体"/>
                <w:b/>
                <w:szCs w:val="21"/>
                <w:highlight w:val="none"/>
              </w:rPr>
            </w:pPr>
            <w:bookmarkStart w:id="14" w:name="_Toc11326096"/>
            <w:r>
              <w:rPr>
                <w:rFonts w:hint="eastAsia" w:ascii="宋体" w:hAnsi="宋体" w:cs="宋体"/>
                <w:b/>
                <w:szCs w:val="21"/>
                <w:highlight w:val="none"/>
              </w:rPr>
              <w:t>序号</w:t>
            </w:r>
          </w:p>
        </w:tc>
        <w:tc>
          <w:tcPr>
            <w:tcW w:w="2168"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lang w:val="en-US" w:eastAsia="zh-CN"/>
              </w:rPr>
              <w:t>采购</w:t>
            </w:r>
            <w:r>
              <w:rPr>
                <w:rFonts w:hint="eastAsia" w:ascii="宋体" w:hAnsi="宋体" w:cs="宋体"/>
                <w:b/>
                <w:szCs w:val="21"/>
                <w:highlight w:val="none"/>
              </w:rPr>
              <w:t>要求</w:t>
            </w:r>
          </w:p>
        </w:tc>
        <w:tc>
          <w:tcPr>
            <w:tcW w:w="4718" w:type="dxa"/>
            <w:noWrap w:val="0"/>
            <w:vAlign w:val="center"/>
          </w:tcPr>
          <w:p>
            <w:pPr>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指标要求</w:t>
            </w:r>
          </w:p>
        </w:tc>
        <w:tc>
          <w:tcPr>
            <w:tcW w:w="1700"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lang w:val="en-US" w:eastAsia="zh-CN"/>
              </w:rPr>
              <w:t>供应商</w:t>
            </w:r>
            <w:r>
              <w:rPr>
                <w:rFonts w:hint="eastAsia" w:ascii="宋体" w:hAnsi="宋体" w:cs="宋体"/>
                <w:b/>
                <w:szCs w:val="21"/>
                <w:highlight w:val="none"/>
              </w:rPr>
              <w:t>响应</w:t>
            </w:r>
          </w:p>
        </w:tc>
        <w:tc>
          <w:tcPr>
            <w:tcW w:w="1164"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bidi="ar"/>
              </w:rPr>
              <w:t>设备名称：</w:t>
            </w:r>
            <w:r>
              <w:rPr>
                <w:rStyle w:val="211"/>
                <w:rFonts w:hint="eastAsia" w:ascii="宋体" w:hAnsi="宋体" w:eastAsia="宋体" w:cs="宋体"/>
                <w:sz w:val="21"/>
                <w:szCs w:val="21"/>
                <w:highlight w:val="none"/>
                <w:lang w:val="en-US" w:eastAsia="zh-CN" w:bidi="ar"/>
              </w:rPr>
              <w:t>信息安全风险评估服务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eastAsia="宋体" w:cs="等线"/>
                <w:color w:val="000000" w:themeColor="text1"/>
                <w:kern w:val="0"/>
                <w:sz w:val="21"/>
                <w:szCs w:val="21"/>
                <w:lang w:bidi="ar"/>
              </w:rPr>
              <w:t>每年开展一次风险评估，包含防病毒、两高一弱、业务连续性等内容，出具风险评估报告，报告中需包含上述三方面内容并提供安全整改建议方案</w:t>
            </w:r>
          </w:p>
        </w:tc>
        <w:tc>
          <w:tcPr>
            <w:tcW w:w="1700" w:type="dxa"/>
            <w:noWrap w:val="0"/>
            <w:vAlign w:val="center"/>
          </w:tcPr>
          <w:p>
            <w:pPr>
              <w:rPr>
                <w:rFonts w:hint="eastAsia" w:ascii="宋体" w:hAnsi="宋体" w:cs="宋体"/>
                <w:b/>
                <w:szCs w:val="21"/>
                <w:highlight w:val="none"/>
              </w:rPr>
            </w:pPr>
          </w:p>
        </w:tc>
        <w:tc>
          <w:tcPr>
            <w:tcW w:w="1164" w:type="dxa"/>
            <w:noWrap w:val="0"/>
            <w:vAlign w:val="center"/>
          </w:tcPr>
          <w:p>
            <w:pP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交货期</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合同签订后</w:t>
            </w:r>
            <w:r>
              <w:rPr>
                <w:rFonts w:hint="eastAsia" w:ascii="宋体" w:hAnsi="宋体" w:eastAsia="宋体" w:cs="宋体"/>
                <w:color w:val="000000"/>
                <w:kern w:val="0"/>
                <w:sz w:val="21"/>
                <w:szCs w:val="21"/>
                <w:highlight w:val="none"/>
                <w:lang w:val="en-US" w:eastAsia="zh-CN" w:bidi="ar"/>
              </w:rPr>
              <w:t>180</w:t>
            </w:r>
            <w:r>
              <w:rPr>
                <w:rFonts w:hint="eastAsia" w:ascii="宋体" w:hAnsi="宋体" w:eastAsia="宋体" w:cs="宋体"/>
                <w:color w:val="000000"/>
                <w:kern w:val="0"/>
                <w:sz w:val="21"/>
                <w:szCs w:val="21"/>
                <w:highlight w:val="none"/>
                <w:lang w:bidi="ar"/>
              </w:rPr>
              <w:t>天内指定地点交货</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themeColor="text1"/>
                <w:kern w:val="0"/>
                <w:sz w:val="21"/>
                <w:szCs w:val="21"/>
                <w:lang w:bidi="ar"/>
              </w:rPr>
              <w:t>指标要求</w:t>
            </w:r>
          </w:p>
        </w:tc>
        <w:tc>
          <w:tcPr>
            <w:tcW w:w="7582" w:type="dxa"/>
            <w:gridSpan w:val="3"/>
            <w:noWrap w:val="0"/>
            <w:vAlign w:val="center"/>
          </w:tcPr>
          <w:p>
            <w:pPr>
              <w:spacing w:line="24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spacing w:line="240" w:lineRule="auto"/>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服务期限及频率</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服务期为</w:t>
            </w:r>
            <w:r>
              <w:rPr>
                <w:rFonts w:hint="eastAsia" w:ascii="宋体" w:hAnsi="宋体" w:eastAsia="宋体" w:cs="宋体"/>
                <w:color w:val="000000" w:themeColor="text1"/>
                <w:kern w:val="0"/>
                <w:sz w:val="21"/>
                <w:szCs w:val="21"/>
                <w:lang w:val="en-US" w:eastAsia="zh-CN" w:bidi="ar"/>
              </w:rPr>
              <w:t>20250701至202630</w:t>
            </w:r>
            <w:r>
              <w:rPr>
                <w:rFonts w:hint="eastAsia" w:ascii="宋体" w:hAnsi="宋体" w:eastAsia="宋体" w:cs="宋体"/>
                <w:color w:val="000000" w:themeColor="text1"/>
                <w:kern w:val="0"/>
                <w:sz w:val="21"/>
                <w:szCs w:val="21"/>
                <w:lang w:bidi="ar"/>
              </w:rPr>
              <w:t>，提供</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kern w:val="0"/>
                <w:sz w:val="21"/>
                <w:szCs w:val="21"/>
                <w:lang w:val="en-US" w:eastAsia="zh-CN" w:bidi="ar"/>
              </w:rPr>
              <w:t>至少</w:t>
            </w:r>
            <w:bookmarkStart w:id="61" w:name="_GoBack"/>
            <w:bookmarkEnd w:id="61"/>
            <w:r>
              <w:rPr>
                <w:rFonts w:ascii="宋体" w:hAnsi="宋体" w:eastAsia="宋体" w:cs="宋体"/>
                <w:color w:val="000000" w:themeColor="text1"/>
                <w:kern w:val="0"/>
                <w:sz w:val="21"/>
                <w:szCs w:val="21"/>
                <w:lang w:bidi="ar"/>
              </w:rPr>
              <w:t>1</w:t>
            </w:r>
            <w:r>
              <w:rPr>
                <w:rFonts w:hint="eastAsia" w:ascii="宋体" w:hAnsi="宋体" w:eastAsia="宋体" w:cs="宋体"/>
                <w:color w:val="000000" w:themeColor="text1"/>
                <w:kern w:val="0"/>
                <w:sz w:val="21"/>
                <w:szCs w:val="21"/>
                <w:lang w:bidi="ar"/>
              </w:rPr>
              <w:t>次安全风险评估服务。</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240" w:lineRule="auto"/>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服务范围</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重要业务系统</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240" w:lineRule="auto"/>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服务内容</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每年开展一次风险评估，包含防病毒、两高一弱、业务连续性等内容，出具风险评估报告，报告中需包含上述三方面内容</w:t>
            </w:r>
            <w:r>
              <w:rPr>
                <w:rFonts w:hint="eastAsia" w:ascii="宋体" w:hAnsi="宋体" w:eastAsia="宋体" w:cs="等线"/>
                <w:color w:val="000000" w:themeColor="text1"/>
                <w:kern w:val="0"/>
                <w:sz w:val="21"/>
                <w:szCs w:val="21"/>
                <w:lang w:bidi="ar"/>
              </w:rPr>
              <w:t>并提供整改建议方案</w:t>
            </w:r>
            <w:r>
              <w:rPr>
                <w:rFonts w:hint="eastAsia" w:ascii="宋体" w:hAnsi="宋体" w:eastAsia="宋体" w:cs="宋体"/>
                <w:color w:val="000000" w:themeColor="text1"/>
                <w:sz w:val="21"/>
                <w:szCs w:val="21"/>
              </w:rPr>
              <w:t>。</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240" w:lineRule="auto"/>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服务要求</w:t>
            </w:r>
          </w:p>
        </w:tc>
        <w:tc>
          <w:tcPr>
            <w:tcW w:w="4718" w:type="dxa"/>
            <w:noWrap w:val="0"/>
            <w:vAlign w:val="center"/>
          </w:tcPr>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依据风险评估的规范要求</w:t>
            </w:r>
            <w:r>
              <w:rPr>
                <w:rFonts w:ascii="宋体" w:hAnsi="宋体" w:eastAsia="宋体"/>
                <w:color w:val="000000" w:themeColor="text1"/>
                <w:sz w:val="21"/>
                <w:szCs w:val="21"/>
              </w:rPr>
              <w:t>,应完成以下工作内容：</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一、风险识别</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1、系统资产识别</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包括医院信息系统、数据资源和通信网络，业务承载类别和关联程度等。依据资产的保密性、完整性和可用性进行分析。</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2、威胁识别</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识别威胁的包括威胁的来源、主体、种类、动机、时机和频率，并对威胁进行综合计算给出划分等级。</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3、已有安全措施识别</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识别预防性安全措施和保护性安全措施，对已采取的安全措施的有效性进行确认，评估其有效性。</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4、脆弱性识别</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以资产为核心，针对每一项需要保护的资产，识别可能被威胁利用的脆弱性，并对脆弱性的严重程度进行评估；从物理、网络、系统、应用等层次进行识别与资产、威胁进行对应给出脆弱性的难易程度、影响程度进行分析。</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二、风险分析与评价</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1、威胁与脆弱性分析</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结合技术评估手段，识别我院信息系统面临的潜在威胁和存在的脆弱性。</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分析威胁的来源、影响方式和影响程度，以及脆弱性的利用方式和潜在后果。</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2、风险评价</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结合资产、威胁和脆弱性的分析结果，对我院信息系统进行风险评估。</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评估风险的可能性、影响程度和优先级，为制定风险处置策略提供依据。</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3、安全措施评估</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评估我院现有的信息安全措施，包括物理安全、网络安全、系统安全、数据安全等方面。</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分析现有措施的有效性，提出改进和完善建议。</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4、风险处置建议</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根据风险评估结果，提出针对性的风险处置建议。</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建议包括加强安全策略、更新系统补丁、改进网络配置、加强员工培训等措施。</w:t>
            </w:r>
          </w:p>
          <w:p>
            <w:pPr>
              <w:spacing w:before="156" w:beforeLines="50" w:after="156" w:afterLines="50" w:line="240" w:lineRule="auto"/>
              <w:rPr>
                <w:rFonts w:ascii="宋体" w:hAnsi="宋体" w:eastAsia="宋体"/>
                <w:color w:val="000000" w:themeColor="text1"/>
                <w:sz w:val="21"/>
                <w:szCs w:val="21"/>
              </w:rPr>
            </w:pPr>
            <w:r>
              <w:rPr>
                <w:rFonts w:ascii="宋体" w:hAnsi="宋体" w:eastAsia="宋体"/>
                <w:color w:val="000000" w:themeColor="text1"/>
                <w:sz w:val="21"/>
                <w:szCs w:val="21"/>
              </w:rPr>
              <w:t>5、风险评估报告</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编制详细的信息安全风险评估报告，包括资产清单、威胁分析、脆弱性分析、风险评估结果、风险处置建议以及安全整改建议方案等内容。</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报告将采用易于理解的语言和图表形式，确保我院管理层和技术人员能够充分理解评估结果和建议。</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三、后续支持与服务</w:t>
            </w:r>
          </w:p>
          <w:p>
            <w:pPr>
              <w:spacing w:before="156" w:beforeLines="50" w:after="156" w:afterLines="50" w:line="240" w:lineRule="auto"/>
              <w:rPr>
                <w:rFonts w:ascii="宋体" w:hAnsi="宋体" w:eastAsia="宋体"/>
                <w:color w:val="000000" w:themeColor="text1"/>
                <w:sz w:val="21"/>
                <w:szCs w:val="21"/>
              </w:rPr>
            </w:pPr>
            <w:r>
              <w:rPr>
                <w:rFonts w:hint="eastAsia" w:ascii="宋体" w:hAnsi="宋体" w:eastAsia="宋体"/>
                <w:color w:val="000000" w:themeColor="text1"/>
                <w:sz w:val="21"/>
                <w:szCs w:val="21"/>
              </w:rPr>
              <w:t>提供风险评估后的技术支持和咨询服务，协助我院实施风险处置建议。</w:t>
            </w:r>
          </w:p>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olor w:val="000000" w:themeColor="text1"/>
                <w:sz w:val="21"/>
                <w:szCs w:val="21"/>
              </w:rPr>
              <w:t>根据我院的需求，提供定期的信息安全风险评估和复查服务，确保我院信息系统的安全稳定。</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240" w:lineRule="auto"/>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Times New Roman"/>
                <w:sz w:val="21"/>
                <w:szCs w:val="21"/>
                <w:highlight w:val="none"/>
                <w:lang w:val="en-US" w:eastAsia="zh-CN"/>
              </w:rPr>
              <w:t>★</w:t>
            </w:r>
            <w:r>
              <w:rPr>
                <w:rFonts w:hint="eastAsia" w:ascii="宋体" w:hAnsi="宋体" w:eastAsia="宋体" w:cs="宋体"/>
                <w:color w:val="000000" w:themeColor="text1"/>
                <w:kern w:val="0"/>
                <w:sz w:val="21"/>
                <w:szCs w:val="21"/>
                <w:lang w:bidi="ar"/>
              </w:rPr>
              <w:t>交付物</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《信息安全风险评估报告》</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信息安全风险评估服务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392227906"/>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7039"/>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52691656"/>
      <w:bookmarkStart w:id="22" w:name="_Toc6931"/>
      <w:bookmarkStart w:id="23" w:name="_Toc369531692"/>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信息安全风险评估服务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52691658"/>
      <w:bookmarkStart w:id="25" w:name="_Toc1187"/>
      <w:bookmarkStart w:id="26" w:name="_Toc369531694"/>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52691659"/>
      <w:bookmarkStart w:id="29" w:name="_Toc369531695"/>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16824"/>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84308375"/>
      <w:bookmarkStart w:id="34" w:name="_Toc17960"/>
      <w:bookmarkStart w:id="35" w:name="_Toc247514246"/>
      <w:bookmarkStart w:id="36" w:name="_Toc352691661"/>
      <w:bookmarkStart w:id="37" w:name="_Toc152045787"/>
      <w:bookmarkStart w:id="38" w:name="_Toc247527827"/>
      <w:bookmarkStart w:id="39" w:name="_Toc361508752"/>
      <w:bookmarkStart w:id="40" w:name="_Toc152042576"/>
      <w:bookmarkStart w:id="41" w:name="_Toc144974856"/>
      <w:bookmarkStart w:id="42" w:name="_Toc369531697"/>
      <w:bookmarkStart w:id="43" w:name="_Toc300835209"/>
      <w:r>
        <w:rPr>
          <w:rFonts w:hint="eastAsia" w:ascii="宋体" w:hAnsi="宋体" w:eastAsia="宋体" w:cs="Times New Roman"/>
          <w:b/>
          <w:sz w:val="24"/>
          <w:szCs w:val="24"/>
          <w:highlight w:val="none"/>
        </w:rPr>
        <w:br w:type="page"/>
      </w:r>
      <w:bookmarkStart w:id="44" w:name="_Toc392227908"/>
      <w:bookmarkStart w:id="45" w:name="_Toc458971245"/>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1"/>
      <w:bookmarkStart w:id="49" w:name="_Toc458971246"/>
      <w:bookmarkStart w:id="50" w:name="OLE_LINK2"/>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信息安全风险评估服务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信息安全风险评估服务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8971250"/>
      <w:bookmarkStart w:id="52" w:name="_Toc457748057"/>
      <w:bookmarkStart w:id="53" w:name="_Toc392227913"/>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457748058"/>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5"/>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5"/>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5"/>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7B0C1"/>
    <w:multiLevelType w:val="singleLevel"/>
    <w:tmpl w:val="EEC7B0C1"/>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4B76B372"/>
    <w:multiLevelType w:val="singleLevel"/>
    <w:tmpl w:val="4B76B372"/>
    <w:lvl w:ilvl="0" w:tentative="0">
      <w:start w:val="3"/>
      <w:numFmt w:val="chineseCounting"/>
      <w:suff w:val="space"/>
      <w:lvlText w:val="第%1章"/>
      <w:lvlJc w:val="left"/>
      <w:rPr>
        <w:rFonts w:hint="eastAsia"/>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28787F75"/>
    <w:rsid w:val="2ADF50F8"/>
    <w:rsid w:val="3AD547B2"/>
    <w:rsid w:val="3D5501C4"/>
    <w:rsid w:val="4640233E"/>
    <w:rsid w:val="5C6240FA"/>
    <w:rsid w:val="5DE8171B"/>
    <w:rsid w:val="5E95641A"/>
    <w:rsid w:val="645F409A"/>
    <w:rsid w:val="66F931CB"/>
    <w:rsid w:val="6F0108ED"/>
    <w:rsid w:val="6F0A1AA0"/>
    <w:rsid w:val="74E65469"/>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6264</Words>
  <Characters>6730</Characters>
  <Lines>53</Lines>
  <Paragraphs>15</Paragraphs>
  <TotalTime>1</TotalTime>
  <ScaleCrop>false</ScaleCrop>
  <LinksUpToDate>false</LinksUpToDate>
  <CharactersWithSpaces>7840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2025-04-27T05:58:03Z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