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5</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12</w:t>
      </w:r>
      <w:r>
        <w:rPr>
          <w:rFonts w:hint="eastAsia" w:ascii="Times New Roman" w:hAnsi="Times New Roman" w:eastAsia="宋体"/>
          <w:b/>
          <w:sz w:val="36"/>
          <w:szCs w:val="36"/>
          <w:highlight w:val="none"/>
        </w:rPr>
        <w:t>月</w:t>
      </w:r>
      <w:bookmarkStart w:id="2" w:name="_Toc11326092"/>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城乡居民大病保险接口改造</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章“需求一览表及技术规格”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29</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5</w:t>
      </w:r>
      <w:bookmarkStart w:id="61" w:name="_GoBack"/>
      <w:bookmarkEnd w:id="61"/>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9066359"/>
      <w:bookmarkStart w:id="10" w:name="_Toc11326093"/>
      <w:bookmarkStart w:id="11" w:name="_Toc516880880"/>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城乡居民大病保险接口改造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keepNext w:val="0"/>
              <w:keepLines w:val="0"/>
              <w:widowControl/>
              <w:suppressLineNumbers w:val="0"/>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w:t>
            </w:r>
            <w:r>
              <w:rPr>
                <w:rFonts w:hint="eastAsia" w:ascii="宋体" w:hAnsi="宋体" w:eastAsia="宋体" w:cs="Times New Roman"/>
                <w:sz w:val="24"/>
                <w:szCs w:val="20"/>
                <w:highlight w:val="none"/>
                <w:lang w:val="en-US" w:eastAsia="zh-CN"/>
              </w:rPr>
              <w:t>加注★的条款或参数要求的、</w:t>
            </w:r>
            <w:r>
              <w:rPr>
                <w:rFonts w:hint="eastAsia" w:ascii="宋体" w:hAnsi="宋体" w:eastAsia="宋体" w:cs="Times New Roman"/>
                <w:sz w:val="24"/>
                <w:szCs w:val="20"/>
                <w:highlight w:val="none"/>
              </w:rPr>
              <w:t>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11326094"/>
      <w:bookmarkStart w:id="13" w:name="_Toc9066360"/>
    </w:p>
    <w:p>
      <w:pPr>
        <w:keepNext/>
        <w:keepLines/>
        <w:spacing w:before="260" w:after="260" w:line="360" w:lineRule="auto"/>
        <w:outlineLvl w:val="0"/>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keepNext/>
        <w:keepLines/>
        <w:numPr>
          <w:ilvl w:val="0"/>
          <w:numId w:val="3"/>
        </w:numPr>
        <w:spacing w:before="260" w:after="260" w:line="360" w:lineRule="auto"/>
        <w:jc w:val="center"/>
        <w:outlineLvl w:val="0"/>
        <w:rPr>
          <w:rFonts w:hint="eastAsia"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 xml:space="preserve"> 需求一览表及技术规格</w:t>
      </w:r>
    </w:p>
    <w:p>
      <w:pPr>
        <w:pStyle w:val="2"/>
        <w:spacing w:before="50" w:after="50" w:line="360" w:lineRule="auto"/>
        <w:rPr>
          <w:rFonts w:ascii="宋体" w:hAnsi="宋体" w:eastAsia="宋体"/>
          <w:sz w:val="24"/>
          <w:szCs w:val="24"/>
        </w:rPr>
      </w:pPr>
      <w:r>
        <w:rPr>
          <w:rFonts w:hint="eastAsia" w:ascii="宋体" w:hAnsi="宋体" w:eastAsia="宋体"/>
          <w:sz w:val="24"/>
          <w:szCs w:val="24"/>
          <w:lang w:val="en-US" w:eastAsia="zh-CN"/>
        </w:rPr>
        <w:t>一、</w:t>
      </w:r>
      <w:r>
        <w:rPr>
          <w:rFonts w:hint="eastAsia" w:ascii="宋体" w:hAnsi="宋体" w:eastAsia="宋体"/>
          <w:sz w:val="24"/>
          <w:szCs w:val="24"/>
        </w:rPr>
        <w:t>需求</w:t>
      </w:r>
      <w:r>
        <w:rPr>
          <w:rFonts w:ascii="宋体" w:hAnsi="宋体" w:eastAsia="宋体"/>
          <w:sz w:val="24"/>
          <w:szCs w:val="24"/>
        </w:rPr>
        <w:t>目标</w:t>
      </w:r>
    </w:p>
    <w:p>
      <w:pPr>
        <w:tabs>
          <w:tab w:val="left" w:pos="4140"/>
        </w:tabs>
        <w:spacing w:line="360" w:lineRule="auto"/>
        <w:ind w:firstLine="424" w:firstLineChars="177"/>
        <w:rPr>
          <w:rFonts w:ascii="Times New Roman" w:hAnsi="宋体"/>
          <w:bCs/>
          <w:kern w:val="0"/>
          <w:sz w:val="24"/>
          <w:szCs w:val="24"/>
          <w:lang w:val="zh-CN"/>
        </w:rPr>
      </w:pPr>
      <w:r>
        <w:rPr>
          <w:rFonts w:hint="eastAsia" w:ascii="Times New Roman" w:hAnsi="宋体"/>
          <w:bCs/>
          <w:kern w:val="0"/>
          <w:sz w:val="24"/>
          <w:szCs w:val="24"/>
          <w:lang w:val="zh-CN"/>
        </w:rPr>
        <w:t>各定点医疗机构需要实现接口规范中的接口开发工作</w:t>
      </w:r>
      <w:r>
        <w:rPr>
          <w:rFonts w:ascii="Times New Roman" w:hAnsi="宋体"/>
          <w:bCs/>
          <w:kern w:val="0"/>
          <w:sz w:val="24"/>
          <w:szCs w:val="24"/>
          <w:lang w:val="zh-CN"/>
        </w:rPr>
        <w:t>，</w:t>
      </w:r>
      <w:r>
        <w:rPr>
          <w:rFonts w:hint="eastAsia" w:ascii="Times New Roman" w:hAnsi="宋体"/>
          <w:bCs/>
          <w:kern w:val="0"/>
          <w:sz w:val="24"/>
          <w:szCs w:val="24"/>
          <w:lang w:val="zh-CN"/>
        </w:rPr>
        <w:t>包括基本信息查询</w:t>
      </w:r>
      <w:r>
        <w:rPr>
          <w:rFonts w:ascii="Times New Roman" w:hAnsi="宋体"/>
          <w:bCs/>
          <w:kern w:val="0"/>
          <w:sz w:val="24"/>
          <w:szCs w:val="24"/>
          <w:lang w:val="zh-CN"/>
        </w:rPr>
        <w:t>、</w:t>
      </w:r>
      <w:r>
        <w:rPr>
          <w:rFonts w:hint="eastAsia" w:ascii="Times New Roman" w:hAnsi="宋体"/>
          <w:bCs/>
          <w:kern w:val="0"/>
          <w:sz w:val="24"/>
          <w:szCs w:val="24"/>
          <w:lang w:val="zh-CN"/>
        </w:rPr>
        <w:t>电子凭证查询</w:t>
      </w:r>
      <w:r>
        <w:rPr>
          <w:rFonts w:ascii="Times New Roman" w:hAnsi="宋体"/>
          <w:bCs/>
          <w:kern w:val="0"/>
          <w:sz w:val="24"/>
          <w:szCs w:val="24"/>
          <w:lang w:val="zh-CN"/>
        </w:rPr>
        <w:t>、</w:t>
      </w:r>
      <w:r>
        <w:rPr>
          <w:rFonts w:hint="eastAsia" w:ascii="Times New Roman" w:hAnsi="宋体"/>
          <w:bCs/>
          <w:kern w:val="0"/>
          <w:sz w:val="24"/>
          <w:szCs w:val="24"/>
          <w:lang w:val="zh-CN"/>
        </w:rPr>
        <w:t>门诊挂号结算</w:t>
      </w:r>
      <w:r>
        <w:rPr>
          <w:rFonts w:ascii="Times New Roman" w:hAnsi="宋体"/>
          <w:bCs/>
          <w:kern w:val="0"/>
          <w:sz w:val="24"/>
          <w:szCs w:val="24"/>
          <w:lang w:val="zh-CN"/>
        </w:rPr>
        <w:t>、</w:t>
      </w:r>
      <w:r>
        <w:rPr>
          <w:rFonts w:hint="eastAsia" w:ascii="Times New Roman" w:hAnsi="宋体"/>
          <w:bCs/>
          <w:kern w:val="0"/>
          <w:sz w:val="24"/>
          <w:szCs w:val="24"/>
          <w:lang w:val="zh-CN"/>
        </w:rPr>
        <w:t>住院登记结算</w:t>
      </w:r>
      <w:r>
        <w:rPr>
          <w:rFonts w:ascii="Times New Roman" w:hAnsi="宋体"/>
          <w:bCs/>
          <w:kern w:val="0"/>
          <w:sz w:val="24"/>
          <w:szCs w:val="24"/>
          <w:lang w:val="zh-CN"/>
        </w:rPr>
        <w:t>、</w:t>
      </w:r>
      <w:r>
        <w:rPr>
          <w:rFonts w:hint="eastAsia" w:ascii="Times New Roman" w:hAnsi="宋体"/>
          <w:bCs/>
          <w:kern w:val="0"/>
          <w:sz w:val="24"/>
          <w:szCs w:val="24"/>
          <w:lang w:val="zh-CN"/>
        </w:rPr>
        <w:t>冲正内容、目录下载、月度结算</w:t>
      </w:r>
      <w:r>
        <w:rPr>
          <w:rFonts w:ascii="Times New Roman" w:hAnsi="宋体"/>
          <w:bCs/>
          <w:kern w:val="0"/>
          <w:sz w:val="24"/>
          <w:szCs w:val="24"/>
          <w:lang w:val="zh-CN"/>
        </w:rPr>
        <w:t>。</w:t>
      </w:r>
      <w:r>
        <w:rPr>
          <w:rFonts w:hint="eastAsia" w:ascii="Times New Roman" w:hAnsi="宋体"/>
          <w:bCs/>
          <w:kern w:val="0"/>
          <w:sz w:val="24"/>
          <w:szCs w:val="24"/>
          <w:lang w:val="zh-CN"/>
        </w:rPr>
        <w:t>各定点医疗机构需要实现接口规范中的接口开发工作</w:t>
      </w:r>
      <w:r>
        <w:rPr>
          <w:rFonts w:ascii="Times New Roman" w:hAnsi="宋体"/>
          <w:bCs/>
          <w:kern w:val="0"/>
          <w:sz w:val="24"/>
          <w:szCs w:val="24"/>
          <w:lang w:val="zh-CN"/>
        </w:rPr>
        <w:t>，</w:t>
      </w:r>
      <w:r>
        <w:rPr>
          <w:rFonts w:hint="eastAsia" w:ascii="Times New Roman" w:hAnsi="宋体"/>
          <w:bCs/>
          <w:kern w:val="0"/>
          <w:sz w:val="24"/>
          <w:szCs w:val="24"/>
          <w:lang w:val="zh-CN"/>
        </w:rPr>
        <w:t>包括基本信息查询</w:t>
      </w:r>
      <w:r>
        <w:rPr>
          <w:rFonts w:ascii="Times New Roman" w:hAnsi="宋体"/>
          <w:bCs/>
          <w:kern w:val="0"/>
          <w:sz w:val="24"/>
          <w:szCs w:val="24"/>
          <w:lang w:val="zh-CN"/>
        </w:rPr>
        <w:t>、</w:t>
      </w:r>
      <w:r>
        <w:rPr>
          <w:rFonts w:hint="eastAsia" w:ascii="Times New Roman" w:hAnsi="宋体"/>
          <w:bCs/>
          <w:kern w:val="0"/>
          <w:sz w:val="24"/>
          <w:szCs w:val="24"/>
          <w:lang w:val="zh-CN"/>
        </w:rPr>
        <w:t>电子凭证查询</w:t>
      </w:r>
      <w:r>
        <w:rPr>
          <w:rFonts w:ascii="Times New Roman" w:hAnsi="宋体"/>
          <w:bCs/>
          <w:kern w:val="0"/>
          <w:sz w:val="24"/>
          <w:szCs w:val="24"/>
          <w:lang w:val="zh-CN"/>
        </w:rPr>
        <w:t>、</w:t>
      </w:r>
      <w:r>
        <w:rPr>
          <w:rFonts w:hint="eastAsia" w:ascii="Times New Roman" w:hAnsi="宋体"/>
          <w:bCs/>
          <w:kern w:val="0"/>
          <w:sz w:val="24"/>
          <w:szCs w:val="24"/>
          <w:lang w:val="zh-CN"/>
        </w:rPr>
        <w:t>药店购药</w:t>
      </w:r>
      <w:r>
        <w:rPr>
          <w:rFonts w:ascii="Times New Roman" w:hAnsi="宋体"/>
          <w:bCs/>
          <w:kern w:val="0"/>
          <w:sz w:val="24"/>
          <w:szCs w:val="24"/>
          <w:lang w:val="zh-CN"/>
        </w:rPr>
        <w:t>、</w:t>
      </w:r>
      <w:r>
        <w:rPr>
          <w:rFonts w:hint="eastAsia" w:ascii="Times New Roman" w:hAnsi="宋体"/>
          <w:bCs/>
          <w:kern w:val="0"/>
          <w:sz w:val="24"/>
          <w:szCs w:val="24"/>
          <w:lang w:val="zh-CN"/>
        </w:rPr>
        <w:t>冲正内容、目录下载、月度结算</w:t>
      </w:r>
      <w:r>
        <w:rPr>
          <w:rFonts w:ascii="Times New Roman" w:hAnsi="宋体"/>
          <w:bCs/>
          <w:kern w:val="0"/>
          <w:sz w:val="24"/>
          <w:szCs w:val="24"/>
          <w:lang w:val="zh-CN"/>
        </w:rPr>
        <w:t>。</w:t>
      </w:r>
    </w:p>
    <w:p>
      <w:pPr>
        <w:pStyle w:val="2"/>
        <w:spacing w:before="156" w:beforeLines="50" w:after="156" w:afterLines="50" w:line="360" w:lineRule="auto"/>
        <w:rPr>
          <w:rFonts w:ascii="宋体" w:hAnsi="宋体" w:eastAsia="宋体"/>
          <w:sz w:val="24"/>
          <w:szCs w:val="24"/>
        </w:rPr>
      </w:pPr>
      <w:r>
        <w:rPr>
          <w:rFonts w:hint="eastAsia" w:ascii="宋体" w:hAnsi="宋体" w:eastAsia="宋体"/>
          <w:sz w:val="24"/>
          <w:szCs w:val="24"/>
          <w:lang w:val="en-US" w:eastAsia="zh-CN"/>
        </w:rPr>
        <w:t>二、</w:t>
      </w:r>
      <w:r>
        <w:rPr>
          <w:rFonts w:hint="eastAsia" w:ascii="宋体" w:hAnsi="宋体" w:eastAsia="宋体"/>
          <w:sz w:val="24"/>
          <w:szCs w:val="24"/>
        </w:rPr>
        <w:t xml:space="preserve"> 招标需求</w:t>
      </w:r>
    </w:p>
    <w:p>
      <w:pPr>
        <w:pStyle w:val="3"/>
        <w:spacing w:before="156" w:beforeLines="50" w:after="156" w:afterLines="5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sz w:val="24"/>
          <w:szCs w:val="24"/>
        </w:rPr>
        <w:t>技术性能</w:t>
      </w:r>
    </w:p>
    <w:p>
      <w:pPr>
        <w:spacing w:line="360" w:lineRule="auto"/>
        <w:ind w:firstLine="480" w:firstLineChars="200"/>
        <w:rPr>
          <w:rFonts w:ascii="Times New Roman" w:hAnsi="宋体"/>
          <w:bCs/>
          <w:kern w:val="0"/>
          <w:sz w:val="24"/>
          <w:szCs w:val="24"/>
          <w:lang w:val="zh-CN"/>
        </w:rPr>
      </w:pPr>
      <w:r>
        <w:rPr>
          <w:rFonts w:hint="eastAsia" w:ascii="Times New Roman" w:hAnsi="宋体"/>
          <w:bCs/>
          <w:kern w:val="0"/>
          <w:sz w:val="24"/>
          <w:szCs w:val="24"/>
          <w:lang w:val="zh-CN"/>
        </w:rPr>
        <w:t>根据上海市医疗保障信息平台定点医药机构接口开发说明</w:t>
      </w:r>
      <w:r>
        <w:rPr>
          <w:rFonts w:ascii="Times New Roman" w:hAnsi="宋体"/>
          <w:bCs/>
          <w:kern w:val="0"/>
          <w:sz w:val="24"/>
          <w:szCs w:val="24"/>
          <w:lang w:val="zh-CN"/>
        </w:rPr>
        <w:t>（</w:t>
      </w:r>
      <w:r>
        <w:rPr>
          <w:rFonts w:hint="eastAsia" w:ascii="Times New Roman" w:hAnsi="宋体"/>
          <w:bCs/>
          <w:kern w:val="0"/>
          <w:sz w:val="24"/>
          <w:szCs w:val="24"/>
          <w:lang w:val="zh-CN"/>
        </w:rPr>
        <w:t>v1.</w:t>
      </w:r>
      <w:r>
        <w:rPr>
          <w:rFonts w:ascii="Times New Roman" w:hAnsi="宋体"/>
          <w:bCs/>
          <w:kern w:val="0"/>
          <w:sz w:val="24"/>
          <w:szCs w:val="24"/>
          <w:lang w:val="zh-CN"/>
        </w:rPr>
        <w:t>2）</w:t>
      </w:r>
      <w:r>
        <w:rPr>
          <w:rFonts w:hint="eastAsia" w:ascii="Times New Roman" w:hAnsi="宋体"/>
          <w:bCs/>
          <w:kern w:val="0"/>
          <w:sz w:val="24"/>
          <w:szCs w:val="24"/>
          <w:lang w:val="zh-CN"/>
        </w:rPr>
        <w:t>》文件要求，需要完成以下接口内容的开发</w:t>
      </w:r>
      <w:r>
        <w:rPr>
          <w:rFonts w:ascii="Times New Roman" w:hAnsi="宋体"/>
          <w:bCs/>
          <w:kern w:val="0"/>
          <w:sz w:val="24"/>
          <w:szCs w:val="24"/>
          <w:lang w:val="zh-CN"/>
        </w:rPr>
        <w:t>。</w:t>
      </w:r>
      <w:r>
        <w:rPr>
          <w:rFonts w:hint="eastAsia" w:ascii="Times New Roman" w:hAnsi="宋体"/>
          <w:bCs/>
          <w:kern w:val="0"/>
          <w:sz w:val="24"/>
          <w:szCs w:val="24"/>
          <w:lang w:val="zh-CN"/>
        </w:rPr>
        <w:t>该接口对接改造的内容来自《医疗保障信息平台定点医药机构接口规范》中的相关描述</w:t>
      </w:r>
      <w:r>
        <w:rPr>
          <w:rFonts w:ascii="Times New Roman" w:hAnsi="宋体"/>
          <w:bCs/>
          <w:kern w:val="0"/>
          <w:sz w:val="24"/>
          <w:szCs w:val="24"/>
          <w:lang w:val="zh-CN"/>
        </w:rPr>
        <w:t>。</w:t>
      </w:r>
    </w:p>
    <w:p>
      <w:pPr>
        <w:keepNext/>
        <w:keepLines/>
        <w:numPr>
          <w:ilvl w:val="0"/>
          <w:numId w:val="0"/>
        </w:numPr>
        <w:spacing w:before="260" w:after="260" w:line="240" w:lineRule="auto"/>
        <w:ind w:firstLine="482" w:firstLineChars="200"/>
        <w:jc w:val="both"/>
        <w:outlineLvl w:val="0"/>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（二）项目内容</w:t>
      </w:r>
    </w:p>
    <w:bookmarkEnd w:id="12"/>
    <w:bookmarkEnd w:id="13"/>
    <w:tbl>
      <w:tblPr>
        <w:tblStyle w:val="31"/>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575"/>
        <w:gridCol w:w="4091"/>
        <w:gridCol w:w="170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jc w:val="center"/>
              <w:rPr>
                <w:rFonts w:hint="eastAsia" w:ascii="宋体" w:hAnsi="宋体" w:eastAsia="宋体" w:cs="宋体"/>
                <w:b/>
                <w:szCs w:val="21"/>
                <w:highlight w:val="none"/>
              </w:rPr>
            </w:pPr>
            <w:bookmarkStart w:id="14" w:name="_Toc11326096"/>
            <w:r>
              <w:rPr>
                <w:rFonts w:hint="eastAsia" w:ascii="宋体" w:hAnsi="宋体" w:eastAsia="宋体" w:cs="宋体"/>
                <w:b/>
                <w:szCs w:val="21"/>
                <w:highlight w:val="none"/>
              </w:rPr>
              <w:t>序号</w:t>
            </w:r>
          </w:p>
        </w:tc>
        <w:tc>
          <w:tcPr>
            <w:tcW w:w="2575"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采购</w:t>
            </w:r>
            <w:r>
              <w:rPr>
                <w:rFonts w:hint="eastAsia" w:ascii="宋体" w:hAnsi="宋体" w:eastAsia="宋体" w:cs="宋体"/>
                <w:b/>
                <w:szCs w:val="21"/>
                <w:highlight w:val="none"/>
              </w:rPr>
              <w:t>要求</w:t>
            </w:r>
          </w:p>
        </w:tc>
        <w:tc>
          <w:tcPr>
            <w:tcW w:w="4091" w:type="dxa"/>
            <w:noWrap w:val="0"/>
            <w:vAlign w:val="center"/>
          </w:tcPr>
          <w:p>
            <w:pPr>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指标要求</w:t>
            </w:r>
          </w:p>
        </w:tc>
        <w:tc>
          <w:tcPr>
            <w:tcW w:w="1700"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供应商</w:t>
            </w:r>
            <w:r>
              <w:rPr>
                <w:rFonts w:hint="eastAsia" w:ascii="宋体" w:hAnsi="宋体" w:eastAsia="宋体" w:cs="宋体"/>
                <w:b/>
                <w:szCs w:val="21"/>
                <w:highlight w:val="none"/>
              </w:rPr>
              <w:t>响应</w:t>
            </w:r>
          </w:p>
        </w:tc>
        <w:tc>
          <w:tcPr>
            <w:tcW w:w="1164" w:type="dxa"/>
            <w:noWrap w:val="0"/>
            <w:vAlign w:val="center"/>
          </w:tcPr>
          <w:p>
            <w:pPr>
              <w:jc w:val="center"/>
              <w:rPr>
                <w:rFonts w:hint="eastAsia" w:ascii="宋体" w:hAnsi="宋体" w:eastAsia="宋体" w:cs="宋体"/>
                <w:b/>
                <w:szCs w:val="21"/>
                <w:highlight w:val="none"/>
              </w:rPr>
            </w:pPr>
            <w:r>
              <w:rPr>
                <w:rFonts w:hint="eastAsia" w:ascii="宋体" w:hAnsi="宋体" w:eastAsia="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noWrap w:val="0"/>
            <w:vAlign w:val="center"/>
          </w:tcPr>
          <w:p>
            <w:pPr>
              <w:widowControl/>
              <w:jc w:val="center"/>
              <w:textAlignment w:val="center"/>
              <w:rPr>
                <w:rFonts w:hint="eastAsia" w:ascii="宋体" w:hAnsi="宋体" w:eastAsia="宋体" w:cs="宋体"/>
                <w:sz w:val="18"/>
                <w:szCs w:val="18"/>
                <w:lang w:val="zh-CN"/>
              </w:rPr>
            </w:pPr>
            <w:r>
              <w:rPr>
                <w:rFonts w:hint="eastAsia" w:ascii="宋体" w:hAnsi="宋体" w:eastAsia="宋体" w:cs="宋体"/>
                <w:color w:val="000000"/>
                <w:kern w:val="0"/>
                <w:sz w:val="18"/>
                <w:szCs w:val="18"/>
                <w:highlight w:val="none"/>
                <w:lang w:bidi="ar"/>
              </w:rPr>
              <w:t>交货期</w:t>
            </w:r>
          </w:p>
        </w:tc>
        <w:tc>
          <w:tcPr>
            <w:tcW w:w="2575"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highlight w:val="none"/>
                <w:lang w:bidi="ar"/>
              </w:rPr>
              <w:t>合同签订后</w:t>
            </w:r>
            <w:r>
              <w:rPr>
                <w:rFonts w:hint="eastAsia" w:ascii="宋体" w:hAnsi="宋体" w:eastAsia="宋体" w:cs="宋体"/>
                <w:color w:val="000000"/>
                <w:kern w:val="0"/>
                <w:sz w:val="18"/>
                <w:szCs w:val="18"/>
                <w:highlight w:val="none"/>
                <w:lang w:val="en-US" w:eastAsia="zh-CN" w:bidi="ar"/>
              </w:rPr>
              <w:t>30</w:t>
            </w:r>
            <w:r>
              <w:rPr>
                <w:rFonts w:hint="eastAsia" w:ascii="宋体" w:hAnsi="宋体" w:eastAsia="宋体" w:cs="宋体"/>
                <w:color w:val="000000"/>
                <w:kern w:val="0"/>
                <w:sz w:val="18"/>
                <w:szCs w:val="18"/>
                <w:highlight w:val="none"/>
                <w:lang w:bidi="ar"/>
              </w:rPr>
              <w:t>天内</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bCs/>
                <w:sz w:val="18"/>
                <w:szCs w:val="18"/>
              </w:rPr>
              <w:t>交货、安装、实施及调试地点均为用户所在地</w:t>
            </w:r>
          </w:p>
        </w:tc>
        <w:tc>
          <w:tcPr>
            <w:tcW w:w="4091" w:type="dxa"/>
            <w:noWrap w:val="0"/>
            <w:vAlign w:val="center"/>
          </w:tcPr>
          <w:p>
            <w:pPr>
              <w:spacing w:line="360" w:lineRule="auto"/>
              <w:rPr>
                <w:rFonts w:hint="eastAsia" w:ascii="宋体" w:hAnsi="宋体" w:eastAsia="宋体" w:cs="宋体"/>
                <w:color w:val="000000"/>
                <w:kern w:val="0"/>
                <w:sz w:val="18"/>
                <w:szCs w:val="18"/>
              </w:rPr>
            </w:pPr>
          </w:p>
        </w:tc>
        <w:tc>
          <w:tcPr>
            <w:tcW w:w="1700" w:type="dxa"/>
            <w:noWrap w:val="0"/>
            <w:vAlign w:val="center"/>
          </w:tcPr>
          <w:p>
            <w:pPr>
              <w:rPr>
                <w:rFonts w:hint="eastAsia" w:ascii="宋体" w:hAnsi="宋体" w:eastAsia="宋体" w:cs="宋体"/>
                <w:sz w:val="18"/>
                <w:szCs w:val="18"/>
                <w:highlight w:val="none"/>
              </w:rPr>
            </w:pPr>
          </w:p>
        </w:tc>
        <w:tc>
          <w:tcPr>
            <w:tcW w:w="1164"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18"/>
                <w:lang w:val="zh-CN"/>
              </w:rPr>
              <w:t>接口调整</w:t>
            </w:r>
          </w:p>
        </w:tc>
        <w:tc>
          <w:tcPr>
            <w:tcW w:w="2575" w:type="dxa"/>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2503人员慢特病备案、5301人员慢特病备案查询</w:t>
            </w:r>
          </w:p>
        </w:tc>
        <w:tc>
          <w:tcPr>
            <w:tcW w:w="4091" w:type="dxa"/>
            <w:noWrap w:val="0"/>
            <w:vAlign w:val="center"/>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rPr>
              <w:t>大病登记逻辑调整、大病查询调整</w:t>
            </w:r>
          </w:p>
        </w:tc>
        <w:tc>
          <w:tcPr>
            <w:tcW w:w="1700" w:type="dxa"/>
            <w:noWrap w:val="0"/>
            <w:vAlign w:val="center"/>
          </w:tcPr>
          <w:p>
            <w:pPr>
              <w:rPr>
                <w:rFonts w:hint="eastAsia" w:ascii="宋体" w:hAnsi="宋体" w:eastAsia="宋体" w:cs="宋体"/>
                <w:sz w:val="18"/>
                <w:szCs w:val="18"/>
                <w:highlight w:val="none"/>
              </w:rPr>
            </w:pPr>
          </w:p>
        </w:tc>
        <w:tc>
          <w:tcPr>
            <w:tcW w:w="1164"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3" w:type="dxa"/>
            <w:vMerge w:val="continue"/>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2204门诊明细上传、2301住院费用明细上传</w:t>
            </w:r>
          </w:p>
        </w:tc>
        <w:tc>
          <w:tcPr>
            <w:tcW w:w="4091"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调整入参exp_content及出参memo</w:t>
            </w:r>
          </w:p>
        </w:tc>
        <w:tc>
          <w:tcPr>
            <w:tcW w:w="1700" w:type="dxa"/>
            <w:noWrap w:val="0"/>
            <w:vAlign w:val="center"/>
          </w:tcPr>
          <w:p>
            <w:pPr>
              <w:rPr>
                <w:rFonts w:hint="eastAsia" w:ascii="宋体" w:hAnsi="宋体" w:eastAsia="宋体" w:cs="宋体"/>
                <w:sz w:val="18"/>
                <w:szCs w:val="18"/>
                <w:highlight w:val="none"/>
              </w:rPr>
            </w:pPr>
          </w:p>
        </w:tc>
        <w:tc>
          <w:tcPr>
            <w:tcW w:w="1164"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Merge w:val="continue"/>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2206/2207门诊（预）结算、2208门诊结算撤销、2303/2304住院（预）结算、2305住院结算撤销、5203结算信息查询</w:t>
            </w:r>
          </w:p>
        </w:tc>
        <w:tc>
          <w:tcPr>
            <w:tcW w:w="4091"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【结算基金分项信息】调整，增加居保大病支</w:t>
            </w:r>
          </w:p>
        </w:tc>
        <w:tc>
          <w:tcPr>
            <w:tcW w:w="1700" w:type="dxa"/>
            <w:noWrap w:val="0"/>
            <w:vAlign w:val="center"/>
          </w:tcPr>
          <w:p>
            <w:pPr>
              <w:rPr>
                <w:rFonts w:hint="eastAsia" w:ascii="宋体" w:hAnsi="宋体" w:eastAsia="宋体" w:cs="宋体"/>
                <w:sz w:val="18"/>
                <w:szCs w:val="18"/>
                <w:highlight w:val="none"/>
              </w:rPr>
            </w:pPr>
          </w:p>
        </w:tc>
        <w:tc>
          <w:tcPr>
            <w:tcW w:w="1164"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2206/2207门诊（预）结算、2208门诊结算撤销、2303/2304住院（预）结算、2305住院结算撤销、5203结算信息查询</w:t>
            </w:r>
          </w:p>
        </w:tc>
        <w:tc>
          <w:tcPr>
            <w:tcW w:w="4091" w:type="dxa"/>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exp_content扩展字段返回增加“居保大病医疗救助对象”标识</w:t>
            </w:r>
          </w:p>
        </w:tc>
        <w:tc>
          <w:tcPr>
            <w:tcW w:w="1700" w:type="dxa"/>
            <w:noWrap w:val="0"/>
            <w:vAlign w:val="center"/>
          </w:tcPr>
          <w:p>
            <w:pPr>
              <w:rPr>
                <w:rFonts w:hint="eastAsia" w:ascii="宋体" w:hAnsi="宋体" w:eastAsia="宋体" w:cs="宋体"/>
                <w:sz w:val="18"/>
                <w:szCs w:val="18"/>
                <w:highlight w:val="none"/>
              </w:rPr>
            </w:pPr>
          </w:p>
        </w:tc>
        <w:tc>
          <w:tcPr>
            <w:tcW w:w="1164" w:type="dxa"/>
            <w:noWrap w:val="0"/>
            <w:vAlign w:val="center"/>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【6201】费用明细上传【6202】支付下单【6203】医保退费【6301】医保订单结算结果查询</w:t>
            </w:r>
          </w:p>
        </w:tc>
        <w:tc>
          <w:tcPr>
            <w:tcW w:w="4091"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6201入参上传医疗类别、大病病种、明细费用的大病费用标志； 6202、6203、6302出参返回救助对象标志和大病支付资金</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【SE03】支付结果推送【SE04】支付结果查询</w:t>
            </w:r>
          </w:p>
        </w:tc>
        <w:tc>
          <w:tcPr>
            <w:tcW w:w="4091"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SE03出参返回救助对象标志和大病支付资金；SE04出参返回救助对象标志和大病支付资金</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线上互联网</w:t>
            </w:r>
          </w:p>
        </w:tc>
        <w:tc>
          <w:tcPr>
            <w:tcW w:w="2575" w:type="dxa"/>
            <w:vMerge w:val="restart"/>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互联网结算就本次大病医保改造配合联调</w:t>
            </w:r>
          </w:p>
        </w:tc>
        <w:tc>
          <w:tcPr>
            <w:tcW w:w="4091" w:type="dxa"/>
            <w:vAlign w:val="center"/>
          </w:tcPr>
          <w:p>
            <w:pPr>
              <w:widowControl/>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涉及线上门诊大病结算流程适配联调</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Merge w:val="continue"/>
            <w:vAlign w:val="center"/>
          </w:tcPr>
          <w:p>
            <w:pPr>
              <w:widowControl/>
              <w:jc w:val="left"/>
              <w:textAlignment w:val="center"/>
              <w:rPr>
                <w:rFonts w:hint="eastAsia" w:ascii="宋体" w:hAnsi="宋体" w:eastAsia="宋体" w:cs="宋体"/>
                <w:color w:val="000000"/>
                <w:kern w:val="2"/>
                <w:sz w:val="18"/>
                <w:szCs w:val="18"/>
                <w:lang w:val="en-US" w:eastAsia="zh-CN" w:bidi="ar-SA"/>
              </w:rPr>
            </w:pPr>
          </w:p>
        </w:tc>
        <w:tc>
          <w:tcPr>
            <w:tcW w:w="4091"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涉及线上住院大病结算流程适配联调</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单据及报表</w:t>
            </w:r>
          </w:p>
        </w:tc>
        <w:tc>
          <w:tcPr>
            <w:tcW w:w="2575"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发票改造</w:t>
            </w:r>
          </w:p>
        </w:tc>
        <w:tc>
          <w:tcPr>
            <w:tcW w:w="4091"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电子发票接口、收费凭条或纸质发票改造，增加居保大病金额处理规则</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结算清单数据采集接口</w:t>
            </w:r>
          </w:p>
        </w:tc>
        <w:tc>
          <w:tcPr>
            <w:tcW w:w="4091" w:type="dxa"/>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个人账户支付金额包含大病金额处理规则</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院内财务报表改造</w:t>
            </w:r>
          </w:p>
        </w:tc>
        <w:tc>
          <w:tcPr>
            <w:tcW w:w="4091" w:type="dxa"/>
            <w:vAlign w:val="center"/>
          </w:tcPr>
          <w:p>
            <w:pPr>
              <w:widowControl/>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院内财务报表改造，根据院内要求，合并居保大病金额支付数</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rPr>
              <w:t>医保月报改造（1-6号表）</w:t>
            </w:r>
          </w:p>
        </w:tc>
        <w:tc>
          <w:tcPr>
            <w:tcW w:w="4091"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rPr>
              <w:t>医保月报1到6号表均增加居保大病金额处理规则</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rPr>
              <w:t>线下HIS系统改造</w:t>
            </w:r>
          </w:p>
        </w:tc>
        <w:tc>
          <w:tcPr>
            <w:tcW w:w="2575"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新增门诊居保大病类型</w:t>
            </w:r>
          </w:p>
        </w:tc>
        <w:tc>
          <w:tcPr>
            <w:tcW w:w="4091"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　</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挂号、收费新增居保大病金额处理规则</w:t>
            </w:r>
          </w:p>
        </w:tc>
        <w:tc>
          <w:tcPr>
            <w:tcW w:w="4091"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门诊收费金额增加大病金额规则处理</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2575"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住院结算新增居保大病金额处理规则</w:t>
            </w:r>
          </w:p>
        </w:tc>
        <w:tc>
          <w:tcPr>
            <w:tcW w:w="4091" w:type="dxa"/>
            <w:vAlign w:val="center"/>
          </w:tcPr>
          <w:p>
            <w:pPr>
              <w:widowControl/>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住院金额增加大病金额规则处理</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bidi="ar"/>
              </w:rPr>
            </w:pPr>
          </w:p>
        </w:tc>
        <w:tc>
          <w:tcPr>
            <w:tcW w:w="2575" w:type="dxa"/>
            <w:vAlign w:val="center"/>
          </w:tcPr>
          <w:p>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rPr>
              <w:t>医保日对账总账和明细账中排除居保大病金额支付信息</w:t>
            </w:r>
          </w:p>
        </w:tc>
        <w:tc>
          <w:tcPr>
            <w:tcW w:w="4091" w:type="dxa"/>
            <w:vAlign w:val="center"/>
          </w:tcPr>
          <w:p>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rPr>
              <w:t>日对账增加大病金额规则处理</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000000"/>
                <w:kern w:val="0"/>
                <w:sz w:val="18"/>
                <w:szCs w:val="18"/>
                <w:lang w:bidi="ar"/>
              </w:rPr>
            </w:pPr>
          </w:p>
        </w:tc>
        <w:tc>
          <w:tcPr>
            <w:tcW w:w="2575" w:type="dxa"/>
            <w:vAlign w:val="center"/>
          </w:tcPr>
          <w:p>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rPr>
              <w:t>少儿基金接口调整</w:t>
            </w:r>
          </w:p>
        </w:tc>
        <w:tc>
          <w:tcPr>
            <w:tcW w:w="4091" w:type="dxa"/>
            <w:vAlign w:val="center"/>
          </w:tcPr>
          <w:p>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rPr>
              <w:t>居保少儿住院时需jbdbyljzdx=1传给红会系统</w:t>
            </w: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bCs/>
                <w:sz w:val="18"/>
                <w:szCs w:val="18"/>
              </w:rPr>
              <w:t>技术文档</w:t>
            </w:r>
          </w:p>
        </w:tc>
        <w:tc>
          <w:tcPr>
            <w:tcW w:w="2575" w:type="dxa"/>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bCs/>
                <w:sz w:val="18"/>
                <w:szCs w:val="18"/>
              </w:rPr>
              <w:t>项目验收后</w:t>
            </w:r>
            <w:r>
              <w:rPr>
                <w:rFonts w:hint="eastAsia" w:ascii="宋体" w:hAnsi="宋体" w:eastAsia="宋体" w:cs="宋体"/>
                <w:bCs/>
                <w:sz w:val="18"/>
                <w:szCs w:val="18"/>
                <w:lang w:eastAsia="zh-CN"/>
              </w:rPr>
              <w:t>投标人</w:t>
            </w:r>
            <w:r>
              <w:rPr>
                <w:rFonts w:hint="eastAsia" w:ascii="宋体" w:hAnsi="宋体" w:eastAsia="宋体" w:cs="宋体"/>
                <w:bCs/>
                <w:sz w:val="18"/>
                <w:szCs w:val="18"/>
              </w:rPr>
              <w:t>须提供详细的软件相关技术文文件（含数据结构、数据流程图、系统字典说明等）、使用说明书、维护手册等文件数据</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Align w:val="center"/>
          </w:tcPr>
          <w:p>
            <w:pPr>
              <w:widowControl/>
              <w:jc w:val="center"/>
              <w:textAlignment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接口费</w:t>
            </w:r>
          </w:p>
        </w:tc>
        <w:tc>
          <w:tcPr>
            <w:tcW w:w="2575" w:type="dxa"/>
            <w:vAlign w:val="center"/>
          </w:tcPr>
          <w:p>
            <w:pPr>
              <w:widowControl/>
              <w:jc w:val="left"/>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投标人需承担项目相关的接口费用</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restart"/>
            <w:vAlign w:val="center"/>
          </w:tcPr>
          <w:p>
            <w:pPr>
              <w:widowControl/>
              <w:jc w:val="center"/>
              <w:textAlignment w:val="center"/>
              <w:rPr>
                <w:rFonts w:hint="eastAsia" w:ascii="宋体" w:hAnsi="宋体" w:eastAsia="宋体" w:cs="宋体"/>
                <w:bCs/>
                <w:color w:val="auto"/>
                <w:sz w:val="18"/>
                <w:szCs w:val="18"/>
              </w:rPr>
            </w:pPr>
            <w:r>
              <w:rPr>
                <w:rFonts w:hint="eastAsia" w:ascii="宋体" w:hAnsi="宋体" w:eastAsia="宋体" w:cs="宋体"/>
                <w:color w:val="auto"/>
                <w:sz w:val="18"/>
                <w:szCs w:val="18"/>
              </w:rPr>
              <w:t>售后服务</w:t>
            </w:r>
          </w:p>
        </w:tc>
        <w:tc>
          <w:tcPr>
            <w:tcW w:w="2575" w:type="dxa"/>
            <w:vAlign w:val="center"/>
          </w:tcPr>
          <w:p>
            <w:pPr>
              <w:widowControl/>
              <w:jc w:val="left"/>
              <w:rPr>
                <w:rFonts w:hint="eastAsia" w:ascii="宋体" w:hAnsi="宋体" w:eastAsia="宋体" w:cs="宋体"/>
                <w:bCs/>
                <w:color w:val="auto"/>
                <w:sz w:val="18"/>
                <w:szCs w:val="18"/>
              </w:rPr>
            </w:pPr>
            <w:r>
              <w:rPr>
                <w:rFonts w:hint="eastAsia" w:ascii="宋体" w:hAnsi="宋体" w:eastAsia="宋体" w:cs="宋体"/>
                <w:bCs/>
                <w:color w:val="auto"/>
                <w:sz w:val="18"/>
                <w:szCs w:val="18"/>
              </w:rPr>
              <w:t>投标人必须有完善的售后服务机构和技术支持团队，处理所有售后服务，包括对现场安装及解决问题，同时可提供7 X 24小时语言（中文）支持</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auto"/>
                <w:sz w:val="18"/>
                <w:szCs w:val="18"/>
              </w:rPr>
            </w:pPr>
          </w:p>
        </w:tc>
        <w:tc>
          <w:tcPr>
            <w:tcW w:w="2575" w:type="dxa"/>
            <w:vAlign w:val="center"/>
          </w:tcPr>
          <w:p>
            <w:pPr>
              <w:widowControl/>
              <w:jc w:val="left"/>
              <w:rPr>
                <w:rFonts w:hint="eastAsia" w:ascii="宋体" w:hAnsi="宋体" w:eastAsia="宋体" w:cs="宋体"/>
                <w:bCs/>
                <w:color w:val="auto"/>
                <w:sz w:val="18"/>
                <w:szCs w:val="18"/>
              </w:rPr>
            </w:pPr>
            <w:r>
              <w:rPr>
                <w:rFonts w:hint="eastAsia" w:ascii="宋体" w:hAnsi="宋体" w:eastAsia="宋体" w:cs="宋体"/>
                <w:bCs/>
                <w:color w:val="auto"/>
                <w:sz w:val="18"/>
                <w:szCs w:val="18"/>
              </w:rPr>
              <w:t>投标人必须免费提供整体项目</w:t>
            </w:r>
            <w:r>
              <w:rPr>
                <w:rFonts w:hint="eastAsia" w:ascii="宋体" w:hAnsi="宋体" w:eastAsia="宋体" w:cs="宋体"/>
                <w:bCs/>
                <w:color w:val="auto"/>
                <w:sz w:val="18"/>
                <w:szCs w:val="18"/>
                <w:lang w:val="en-US" w:eastAsia="zh-CN"/>
              </w:rPr>
              <w:t>至少</w:t>
            </w:r>
            <w:r>
              <w:rPr>
                <w:rFonts w:hint="eastAsia" w:ascii="宋体" w:hAnsi="宋体" w:eastAsia="宋体" w:cs="宋体"/>
                <w:bCs/>
                <w:color w:val="auto"/>
                <w:sz w:val="18"/>
                <w:szCs w:val="18"/>
                <w:u w:val="single"/>
              </w:rPr>
              <w:t>1年</w:t>
            </w:r>
            <w:r>
              <w:rPr>
                <w:rFonts w:hint="eastAsia" w:ascii="宋体" w:hAnsi="宋体" w:eastAsia="宋体" w:cs="宋体"/>
                <w:bCs/>
                <w:color w:val="auto"/>
                <w:sz w:val="18"/>
                <w:szCs w:val="18"/>
              </w:rPr>
              <w:t>售后服务，后续每年的维护费为不超过软件金额的8%</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auto"/>
                <w:sz w:val="18"/>
                <w:szCs w:val="18"/>
              </w:rPr>
            </w:pPr>
          </w:p>
        </w:tc>
        <w:tc>
          <w:tcPr>
            <w:tcW w:w="2575" w:type="dxa"/>
            <w:vAlign w:val="center"/>
          </w:tcPr>
          <w:p>
            <w:pPr>
              <w:widowControl/>
              <w:jc w:val="left"/>
              <w:rPr>
                <w:rFonts w:hint="eastAsia" w:ascii="宋体" w:hAnsi="宋体" w:eastAsia="宋体" w:cs="宋体"/>
                <w:bCs/>
                <w:color w:val="auto"/>
                <w:sz w:val="18"/>
                <w:szCs w:val="18"/>
              </w:rPr>
            </w:pPr>
            <w:r>
              <w:rPr>
                <w:rFonts w:hint="eastAsia" w:ascii="宋体" w:hAnsi="宋体" w:eastAsia="宋体" w:cs="宋体"/>
                <w:bCs/>
                <w:color w:val="auto"/>
                <w:sz w:val="18"/>
                <w:szCs w:val="18"/>
              </w:rPr>
              <w:t>系统免费质保期内，</w:t>
            </w:r>
            <w:r>
              <w:rPr>
                <w:rFonts w:hint="eastAsia" w:ascii="宋体" w:hAnsi="宋体" w:eastAsia="宋体" w:cs="宋体"/>
                <w:bCs/>
                <w:color w:val="auto"/>
                <w:sz w:val="18"/>
                <w:szCs w:val="18"/>
                <w:lang w:eastAsia="zh-CN"/>
              </w:rPr>
              <w:t>投标人</w:t>
            </w:r>
            <w:r>
              <w:rPr>
                <w:rFonts w:hint="eastAsia" w:ascii="宋体" w:hAnsi="宋体" w:eastAsia="宋体" w:cs="宋体"/>
                <w:bCs/>
                <w:color w:val="auto"/>
                <w:sz w:val="18"/>
                <w:szCs w:val="18"/>
              </w:rPr>
              <w:t>工程师负责服务跟踪，至少每月对系统巡检一次，保证系统在最优化的状态下稳定运行</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 w:type="dxa"/>
            <w:vMerge w:val="continue"/>
            <w:vAlign w:val="center"/>
          </w:tcPr>
          <w:p>
            <w:pPr>
              <w:widowControl/>
              <w:jc w:val="center"/>
              <w:textAlignment w:val="center"/>
              <w:rPr>
                <w:rFonts w:hint="eastAsia" w:ascii="宋体" w:hAnsi="宋体" w:eastAsia="宋体" w:cs="宋体"/>
                <w:color w:val="auto"/>
                <w:sz w:val="18"/>
                <w:szCs w:val="18"/>
              </w:rPr>
            </w:pPr>
          </w:p>
        </w:tc>
        <w:tc>
          <w:tcPr>
            <w:tcW w:w="2575" w:type="dxa"/>
            <w:vAlign w:val="center"/>
          </w:tcPr>
          <w:p>
            <w:pPr>
              <w:widowControl/>
              <w:jc w:val="left"/>
              <w:rPr>
                <w:rFonts w:hint="eastAsia" w:ascii="宋体" w:hAnsi="宋体" w:eastAsia="宋体" w:cs="宋体"/>
                <w:bCs/>
                <w:color w:val="auto"/>
                <w:sz w:val="18"/>
                <w:szCs w:val="18"/>
              </w:rPr>
            </w:pPr>
            <w:r>
              <w:rPr>
                <w:rFonts w:hint="eastAsia" w:ascii="宋体" w:hAnsi="宋体" w:eastAsia="宋体" w:cs="宋体"/>
                <w:bCs/>
                <w:color w:val="auto"/>
                <w:sz w:val="18"/>
                <w:szCs w:val="18"/>
              </w:rPr>
              <w:t>在质保期结束前，须由投标人工程师和院方代表进行一次全面检查，任何缺陷必须由投标人负责修改，在修改之后，投标人应将缺陷原因、修改内容、完成修改及恢复正常的时间和日期等报告给院方。报告一式两份</w:t>
            </w:r>
          </w:p>
        </w:tc>
        <w:tc>
          <w:tcPr>
            <w:tcW w:w="4091" w:type="dxa"/>
            <w:vAlign w:val="center"/>
          </w:tcPr>
          <w:p>
            <w:pPr>
              <w:widowControl/>
              <w:jc w:val="left"/>
              <w:rPr>
                <w:rFonts w:hint="eastAsia" w:ascii="宋体" w:hAnsi="宋体" w:eastAsia="宋体" w:cs="宋体"/>
                <w:color w:val="000000"/>
                <w:kern w:val="0"/>
                <w:sz w:val="18"/>
                <w:szCs w:val="18"/>
              </w:rPr>
            </w:pPr>
          </w:p>
        </w:tc>
        <w:tc>
          <w:tcPr>
            <w:tcW w:w="0" w:type="auto"/>
          </w:tcPr>
          <w:p>
            <w:pPr>
              <w:rPr>
                <w:rFonts w:hint="eastAsia" w:ascii="宋体" w:hAnsi="宋体" w:eastAsia="宋体" w:cs="宋体"/>
                <w:sz w:val="18"/>
                <w:szCs w:val="18"/>
                <w:highlight w:val="none"/>
              </w:rPr>
            </w:pPr>
          </w:p>
        </w:tc>
        <w:tc>
          <w:tcPr>
            <w:tcW w:w="0" w:type="auto"/>
          </w:tcPr>
          <w:p>
            <w:pPr>
              <w:rPr>
                <w:rFonts w:hint="eastAsia" w:ascii="宋体" w:hAnsi="宋体" w:eastAsia="宋体" w:cs="宋体"/>
                <w:sz w:val="18"/>
                <w:szCs w:val="18"/>
                <w:highlight w:val="none"/>
              </w:rPr>
            </w:pPr>
          </w:p>
        </w:tc>
      </w:tr>
    </w:tbl>
    <w:p>
      <w:pPr>
        <w:jc w:val="both"/>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宋体" w:hAnsi="宋体" w:eastAsia="宋体" w:cs="Times New Roman"/>
          <w:b/>
          <w:sz w:val="40"/>
          <w:szCs w:val="40"/>
          <w:highlight w:val="none"/>
          <w:lang w:val="en-US" w:eastAsia="zh-CN"/>
        </w:rPr>
        <w:t>城乡居民大病保险接口改造</w:t>
      </w: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7748049"/>
      <w:bookmarkStart w:id="16" w:name="_Toc392227906"/>
      <w:bookmarkStart w:id="17" w:name="_Toc458971242"/>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7039"/>
      <w:bookmarkStart w:id="19" w:name="_Toc369531691"/>
      <w:bookmarkStart w:id="20" w:name="_Toc352691655"/>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52691656"/>
      <w:bookmarkStart w:id="22" w:name="_Toc369531692"/>
      <w:bookmarkStart w:id="23" w:name="_Toc6931"/>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宋体" w:hAnsi="宋体" w:eastAsia="宋体" w:cs="Times New Roman"/>
          <w:szCs w:val="21"/>
          <w:highlight w:val="none"/>
          <w:u w:val="single"/>
          <w:lang w:val="en-US" w:eastAsia="zh-CN"/>
        </w:rPr>
        <w:t>城乡居民大病保险接口改造</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1187"/>
      <w:bookmarkStart w:id="25" w:name="_Toc352691658"/>
      <w:bookmarkStart w:id="26" w:name="_Toc369531694"/>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369531695"/>
      <w:bookmarkStart w:id="28" w:name="_Toc352691659"/>
      <w:bookmarkStart w:id="29" w:name="_Toc16568"/>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16824"/>
      <w:bookmarkStart w:id="31" w:name="_Toc369531696"/>
      <w:bookmarkStart w:id="32" w:name="_Toc352691660"/>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52042576"/>
      <w:bookmarkStart w:id="34" w:name="_Toc144974856"/>
      <w:bookmarkStart w:id="35" w:name="_Toc152045787"/>
      <w:bookmarkStart w:id="36" w:name="_Toc247527827"/>
      <w:bookmarkStart w:id="37" w:name="_Toc369531697"/>
      <w:bookmarkStart w:id="38" w:name="_Toc361508752"/>
      <w:bookmarkStart w:id="39" w:name="_Toc17960"/>
      <w:bookmarkStart w:id="40" w:name="_Toc300835209"/>
      <w:bookmarkStart w:id="41" w:name="_Toc384308375"/>
      <w:bookmarkStart w:id="42" w:name="_Toc352691661"/>
      <w:bookmarkStart w:id="43" w:name="_Toc247514246"/>
      <w:r>
        <w:rPr>
          <w:rFonts w:hint="eastAsia" w:ascii="宋体" w:hAnsi="宋体" w:eastAsia="宋体" w:cs="Times New Roman"/>
          <w:b/>
          <w:sz w:val="24"/>
          <w:szCs w:val="24"/>
          <w:highlight w:val="none"/>
        </w:rPr>
        <w:br w:type="page"/>
      </w:r>
      <w:bookmarkStart w:id="44" w:name="_Toc458971245"/>
      <w:bookmarkStart w:id="45" w:name="_Toc392227908"/>
      <w:bookmarkStart w:id="46" w:name="_Toc457748054"/>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OLE_LINK2"/>
      <w:bookmarkStart w:id="49" w:name="OLE_LINK1"/>
      <w:bookmarkStart w:id="50" w:name="_Toc458971246"/>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宋体" w:hAnsi="宋体" w:eastAsia="宋体" w:cs="Times New Roman"/>
          <w:szCs w:val="21"/>
          <w:highlight w:val="none"/>
          <w:u w:val="single"/>
          <w:lang w:val="en-US" w:eastAsia="zh-CN"/>
        </w:rPr>
        <w:t>城乡居民大病保险接口改造</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eastAsia="宋体" w:cs="Times New Roman"/>
                <w:szCs w:val="21"/>
                <w:highlight w:val="none"/>
                <w:u w:val="none"/>
                <w:lang w:val="en-US" w:eastAsia="zh-CN"/>
              </w:rPr>
              <w:t>城乡居民大病保险接口改造</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7748057"/>
      <w:bookmarkStart w:id="53" w:name="_Toc458971250"/>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392227915"/>
      <w:bookmarkStart w:id="55" w:name="_Toc458971251"/>
      <w:bookmarkStart w:id="56" w:name="_Toc457748058"/>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4"/>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lang w:val="en-US" w:eastAsia="zh-CN"/>
        </w:rPr>
        <w:t>2</w:t>
      </w:r>
      <w:r>
        <w:rPr>
          <w:rFonts w:hint="eastAsia" w:ascii="Calibri" w:hAnsi="Calibri" w:eastAsia="宋体" w:cs="Times New Roman"/>
          <w:sz w:val="24"/>
          <w:szCs w:val="24"/>
          <w:highlight w:val="none"/>
        </w:rPr>
        <w:t>）其他供应商认为有必要提供的文件。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b/>
          <w:szCs w:val="21"/>
          <w:highlight w:val="none"/>
          <w:lang w:val="en-US" w:eastAsia="zh-CN"/>
        </w:rPr>
        <w:t>一</w:t>
      </w:r>
      <w:r>
        <w:rPr>
          <w:rFonts w:ascii="宋体" w:hAnsi="宋体" w:eastAsia="宋体" w:cs="Times New Roman"/>
          <w:b/>
          <w:szCs w:val="21"/>
          <w:highlight w:val="none"/>
        </w:rPr>
        <w:t>）</w:t>
      </w: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5"/>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4B76B372"/>
    <w:multiLevelType w:val="singleLevel"/>
    <w:tmpl w:val="4B76B372"/>
    <w:lvl w:ilvl="0" w:tentative="0">
      <w:start w:val="3"/>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lYzFmNzI3NGZjMjA5MjUwZTc0MTE3OWQxZDhmMjI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EFD24EE"/>
    <w:rsid w:val="0F9B3A17"/>
    <w:rsid w:val="17B6127B"/>
    <w:rsid w:val="18B96178"/>
    <w:rsid w:val="23313956"/>
    <w:rsid w:val="28787F75"/>
    <w:rsid w:val="2AB95223"/>
    <w:rsid w:val="2ADF50F8"/>
    <w:rsid w:val="3AD547B2"/>
    <w:rsid w:val="3D5501C4"/>
    <w:rsid w:val="5C6240FA"/>
    <w:rsid w:val="5DE8171B"/>
    <w:rsid w:val="645F409A"/>
    <w:rsid w:val="66F931CB"/>
    <w:rsid w:val="6ED61650"/>
    <w:rsid w:val="6F0108ED"/>
    <w:rsid w:val="6F0A1AA0"/>
    <w:rsid w:val="6F51440F"/>
    <w:rsid w:val="74E65469"/>
    <w:rsid w:val="7D540F33"/>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5777</Words>
  <Characters>6376</Characters>
  <Lines>53</Lines>
  <Paragraphs>15</Paragraphs>
  <TotalTime>1</TotalTime>
  <ScaleCrop>false</ScaleCrop>
  <LinksUpToDate>false</LinksUpToDate>
  <CharactersWithSpaces>7489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2025-12-29T07:06:49Z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