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流式细胞仪相关试剂等试剂项目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01</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03</w:t>
      </w:r>
      <w:bookmarkStart w:id="18" w:name="_GoBack"/>
      <w:bookmarkEnd w:id="18"/>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16</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7</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包件一：流式细胞仪相关试剂</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包件二：流感三联核酸检测试剂</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包件三：淀粉样蛋白1-42检测试剂</w:t>
      </w:r>
    </w:p>
    <w:p>
      <w:pPr>
        <w:autoSpaceDE w:val="0"/>
        <w:autoSpaceDN w:val="0"/>
        <w:spacing w:line="360" w:lineRule="auto"/>
        <w:ind w:left="360" w:firstLine="1020" w:firstLineChars="425"/>
        <w:rPr>
          <w:rFonts w:hint="default" w:ascii="宋体" w:hAnsi="宋体" w:eastAsia="宋体" w:cs="宋体"/>
          <w:b w:val="0"/>
          <w:bCs w:val="0"/>
          <w:sz w:val="24"/>
          <w:szCs w:val="24"/>
          <w:lang w:val="en-US" w:eastAsia="zh-CN"/>
        </w:rPr>
      </w:pPr>
      <w:r>
        <w:rPr>
          <w:rFonts w:hint="eastAsia" w:ascii="宋体" w:hAnsi="宋体" w:eastAsia="宋体" w:cs="宋体"/>
          <w:kern w:val="0"/>
          <w:sz w:val="24"/>
          <w:szCs w:val="24"/>
          <w:highlight w:val="none"/>
          <w:lang w:val="en-US" w:eastAsia="zh-CN"/>
        </w:rPr>
        <w:t>包件四：磷酸化tau-181蛋白检测试剂</w:t>
      </w:r>
    </w:p>
    <w:p>
      <w:pPr>
        <w:autoSpaceDE w:val="0"/>
        <w:autoSpaceDN w:val="0"/>
        <w:spacing w:line="360" w:lineRule="auto"/>
        <w:ind w:left="360" w:firstLine="1020" w:firstLineChars="425"/>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包件五：全自动微生物质谱检测系统配套试剂</w:t>
      </w:r>
    </w:p>
    <w:p>
      <w:pPr>
        <w:autoSpaceDE w:val="0"/>
        <w:autoSpaceDN w:val="0"/>
        <w:spacing w:line="360" w:lineRule="auto"/>
        <w:ind w:left="360" w:firstLine="1020" w:firstLineChars="425"/>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包件六：胰岛功能评估激素测定试剂</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08</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01</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08</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14</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11326093"/>
      <w:bookmarkStart w:id="10" w:name="_Toc9066359"/>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促甲状腺激素受体检测试剂等试剂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促甲状腺激素受体检测试剂等试剂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01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14</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流式细胞仪相关试剂</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样本：需包含</w:t>
      </w:r>
      <w:r>
        <w:rPr>
          <w:rFonts w:hint="eastAsia" w:ascii="宋体" w:hAnsi="宋体" w:eastAsia="宋体" w:cs="宋体"/>
          <w:sz w:val="24"/>
          <w:szCs w:val="24"/>
        </w:rPr>
        <w:t>CD3(PerCP-Cy5.5)</w:t>
      </w:r>
      <w:r>
        <w:rPr>
          <w:rFonts w:hint="eastAsia" w:ascii="宋体" w:hAnsi="宋体" w:eastAsia="宋体" w:cs="宋体"/>
          <w:sz w:val="24"/>
          <w:szCs w:val="24"/>
          <w:lang w:eastAsia="zh-CN"/>
        </w:rPr>
        <w:t>、</w:t>
      </w:r>
      <w:r>
        <w:rPr>
          <w:rFonts w:hint="eastAsia" w:ascii="宋体" w:hAnsi="宋体" w:eastAsia="宋体" w:cs="宋体"/>
          <w:sz w:val="24"/>
          <w:szCs w:val="24"/>
        </w:rPr>
        <w:t>CD8(APC-Cy7)</w:t>
      </w:r>
      <w:r>
        <w:rPr>
          <w:rFonts w:hint="eastAsia" w:ascii="宋体" w:hAnsi="宋体" w:eastAsia="宋体" w:cs="宋体"/>
          <w:sz w:val="24"/>
          <w:szCs w:val="24"/>
          <w:lang w:eastAsia="zh-CN"/>
        </w:rPr>
        <w:t>、</w:t>
      </w:r>
      <w:r>
        <w:rPr>
          <w:rFonts w:hint="eastAsia" w:ascii="宋体" w:hAnsi="宋体" w:eastAsia="宋体" w:cs="宋体"/>
          <w:sz w:val="24"/>
          <w:szCs w:val="24"/>
        </w:rPr>
        <w:t>CD16(APC)</w:t>
      </w:r>
      <w:r>
        <w:rPr>
          <w:rFonts w:hint="eastAsia" w:ascii="宋体" w:hAnsi="宋体" w:eastAsia="宋体" w:cs="宋体"/>
          <w:sz w:val="24"/>
          <w:szCs w:val="24"/>
          <w:lang w:eastAsia="zh-CN"/>
        </w:rPr>
        <w:t>、</w:t>
      </w:r>
      <w:r>
        <w:rPr>
          <w:rFonts w:hint="eastAsia" w:ascii="宋体" w:hAnsi="宋体" w:eastAsia="宋体" w:cs="宋体"/>
          <w:sz w:val="24"/>
          <w:szCs w:val="24"/>
        </w:rPr>
        <w:t>CD28(FITC)</w:t>
      </w:r>
      <w:r>
        <w:rPr>
          <w:rFonts w:hint="eastAsia" w:ascii="宋体" w:hAnsi="宋体" w:eastAsia="宋体" w:cs="宋体"/>
          <w:sz w:val="24"/>
          <w:szCs w:val="24"/>
          <w:lang w:eastAsia="zh-CN"/>
        </w:rPr>
        <w:t>、</w:t>
      </w:r>
      <w:r>
        <w:rPr>
          <w:rFonts w:hint="eastAsia" w:ascii="宋体" w:hAnsi="宋体" w:eastAsia="宋体" w:cs="宋体"/>
          <w:sz w:val="24"/>
          <w:szCs w:val="24"/>
        </w:rPr>
        <w:t>CD45(PE-Cy7)</w:t>
      </w:r>
      <w:r>
        <w:rPr>
          <w:rFonts w:hint="eastAsia" w:ascii="宋体" w:hAnsi="宋体" w:eastAsia="宋体" w:cs="宋体"/>
          <w:sz w:val="24"/>
          <w:szCs w:val="24"/>
          <w:lang w:eastAsia="zh-CN"/>
        </w:rPr>
        <w:t>、</w:t>
      </w:r>
      <w:r>
        <w:rPr>
          <w:rFonts w:hint="eastAsia" w:ascii="宋体" w:hAnsi="宋体" w:eastAsia="宋体" w:cs="宋体"/>
          <w:sz w:val="24"/>
          <w:szCs w:val="24"/>
        </w:rPr>
        <w:t>CD56(APC)</w:t>
      </w:r>
      <w:r>
        <w:rPr>
          <w:rFonts w:hint="eastAsia" w:ascii="宋体" w:hAnsi="宋体" w:eastAsia="宋体" w:cs="宋体"/>
          <w:sz w:val="24"/>
          <w:szCs w:val="24"/>
          <w:lang w:eastAsia="zh-CN"/>
        </w:rPr>
        <w:t>、</w:t>
      </w:r>
      <w:r>
        <w:rPr>
          <w:rFonts w:hint="eastAsia" w:ascii="宋体" w:hAnsi="宋体" w:eastAsia="宋体" w:cs="宋体"/>
          <w:sz w:val="24"/>
          <w:szCs w:val="24"/>
        </w:rPr>
        <w:t>GranzymeB(FITC)</w:t>
      </w:r>
      <w:r>
        <w:rPr>
          <w:rFonts w:hint="eastAsia" w:ascii="宋体" w:hAnsi="宋体" w:eastAsia="宋体" w:cs="宋体"/>
          <w:sz w:val="24"/>
          <w:szCs w:val="24"/>
          <w:lang w:eastAsia="zh-CN"/>
        </w:rPr>
        <w:t>、</w:t>
      </w:r>
      <w:r>
        <w:rPr>
          <w:rFonts w:hint="eastAsia" w:ascii="宋体" w:hAnsi="宋体" w:eastAsia="宋体" w:cs="宋体"/>
          <w:sz w:val="24"/>
          <w:szCs w:val="24"/>
        </w:rPr>
        <w:t>IFN-γ(PE)</w:t>
      </w:r>
      <w:r>
        <w:rPr>
          <w:rFonts w:hint="eastAsia" w:ascii="宋体" w:hAnsi="宋体" w:eastAsia="宋体" w:cs="宋体"/>
          <w:sz w:val="24"/>
          <w:szCs w:val="24"/>
          <w:lang w:eastAsia="zh-CN"/>
        </w:rPr>
        <w:t>、</w:t>
      </w:r>
      <w:r>
        <w:rPr>
          <w:rFonts w:hint="eastAsia" w:ascii="宋体" w:hAnsi="宋体" w:eastAsia="宋体" w:cs="宋体"/>
          <w:sz w:val="24"/>
          <w:szCs w:val="24"/>
        </w:rPr>
        <w:t>PD-1(CD279)(PE)</w:t>
      </w:r>
      <w:r>
        <w:rPr>
          <w:rFonts w:hint="eastAsia" w:ascii="宋体" w:hAnsi="宋体" w:eastAsia="宋体" w:cs="宋体"/>
          <w:sz w:val="24"/>
          <w:szCs w:val="24"/>
          <w:lang w:eastAsia="zh-CN"/>
        </w:rPr>
        <w:t>、</w:t>
      </w:r>
      <w:r>
        <w:rPr>
          <w:rFonts w:hint="eastAsia" w:ascii="宋体" w:hAnsi="宋体" w:eastAsia="宋体" w:cs="宋体"/>
          <w:sz w:val="24"/>
          <w:szCs w:val="24"/>
        </w:rPr>
        <w:t>穿孔素(PE)</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准确度：取阳性细胞和阴性细胞按照一定比例进行混合，检测结果应在预期值±10%范围</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sz w:val="24"/>
          <w:szCs w:val="24"/>
        </w:rPr>
        <w:t>批内精密度：对同一样本重复检测10次，变异系数CV值应符合：</w:t>
      </w:r>
      <w:r>
        <w:rPr>
          <w:rFonts w:hint="eastAsia" w:ascii="宋体" w:hAnsi="宋体" w:eastAsia="宋体" w:cs="宋体"/>
          <w:sz w:val="24"/>
          <w:szCs w:val="24"/>
          <w:lang w:val="en-US" w:eastAsia="zh-CN"/>
        </w:rPr>
        <w:t>1</w:t>
      </w:r>
      <w:r>
        <w:rPr>
          <w:rFonts w:hint="eastAsia" w:ascii="宋体" w:hAnsi="宋体" w:eastAsia="宋体" w:cs="宋体"/>
          <w:sz w:val="24"/>
          <w:szCs w:val="24"/>
        </w:rPr>
        <w:t>)阳性百分比≥30%时，检测结果的 CV 值≤8%；</w:t>
      </w:r>
      <w:r>
        <w:rPr>
          <w:rFonts w:hint="eastAsia" w:ascii="宋体" w:hAnsi="宋体" w:eastAsia="宋体" w:cs="宋体"/>
          <w:sz w:val="24"/>
          <w:szCs w:val="24"/>
          <w:lang w:val="en-US" w:eastAsia="zh-CN"/>
        </w:rPr>
        <w:t>2</w:t>
      </w:r>
      <w:r>
        <w:rPr>
          <w:rFonts w:hint="eastAsia" w:ascii="宋体" w:hAnsi="宋体" w:eastAsia="宋体" w:cs="宋体"/>
          <w:sz w:val="24"/>
          <w:szCs w:val="24"/>
        </w:rPr>
        <w:t>)阳性百分比小于30%时，检测结果的 CV 值≤15%</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批间精密度：三个半批号的试剂对于同一样本的检测结果应符合：</w:t>
      </w:r>
      <w:r>
        <w:rPr>
          <w:rFonts w:hint="eastAsia" w:ascii="宋体" w:hAnsi="宋体" w:eastAsia="宋体" w:cs="宋体"/>
          <w:sz w:val="24"/>
          <w:szCs w:val="24"/>
          <w:lang w:val="en-US" w:eastAsia="zh-CN"/>
        </w:rPr>
        <w:t>1</w:t>
      </w:r>
      <w:r>
        <w:rPr>
          <w:rFonts w:hint="eastAsia" w:ascii="宋体" w:hAnsi="宋体" w:eastAsia="宋体" w:cs="宋体"/>
          <w:sz w:val="24"/>
          <w:szCs w:val="24"/>
        </w:rPr>
        <w:t>)阳性百分比≥30%时，检测结果的 CV 值≤8%；</w:t>
      </w:r>
      <w:r>
        <w:rPr>
          <w:rFonts w:hint="eastAsia" w:ascii="宋体" w:hAnsi="宋体" w:eastAsia="宋体" w:cs="宋体"/>
          <w:sz w:val="24"/>
          <w:szCs w:val="24"/>
          <w:lang w:val="en-US" w:eastAsia="zh-CN"/>
        </w:rPr>
        <w:t>2</w:t>
      </w:r>
      <w:r>
        <w:rPr>
          <w:rFonts w:hint="eastAsia" w:ascii="宋体" w:hAnsi="宋体" w:eastAsia="宋体" w:cs="宋体"/>
          <w:sz w:val="24"/>
          <w:szCs w:val="24"/>
        </w:rPr>
        <w:t>)阳性百分比小于30%时，检测结果的 CV 值≤15%</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染色稳定性：用试剂对样本进行染色，染色后的样本 24 小时内重复检测阳性率，前后两次检测结果的差异相对于前一次检测的结果变化应符合：1）阳性百分比大于等于30%时，相对偏差值应不大于10%；2）阳性百分比 10%-30%时，相对偏差值应不大于 20%；3）阳性百分比小于10%时，相对偏差值应不大于30%</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具备冷链运输条件</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rPr>
        <w:t>有效期≥12</w:t>
      </w:r>
      <w:r>
        <w:rPr>
          <w:rFonts w:hint="eastAsia" w:ascii="宋体" w:hAnsi="宋体" w:eastAsia="宋体" w:cs="宋体"/>
          <w:sz w:val="24"/>
          <w:szCs w:val="24"/>
          <w:lang w:val="en-US" w:eastAsia="zh-CN"/>
        </w:rPr>
        <w:t>个</w:t>
      </w:r>
      <w:r>
        <w:rPr>
          <w:rFonts w:hint="eastAsia" w:ascii="宋体" w:hAnsi="宋体" w:eastAsia="宋体" w:cs="宋体"/>
          <w:sz w:val="24"/>
          <w:szCs w:val="24"/>
        </w:rPr>
        <w:t>月</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流感三联核酸检测试剂</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用途：进行呼吸道病原体核酸检测，至少应包含甲型流感病毒、乙型流感病毒、呼吸</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★样本类型：咽拭子</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特异性：检测的病原体与其它同源的病原体均无交叉反应批间精密度</w:t>
      </w:r>
    </w:p>
    <w:p>
      <w:pPr>
        <w:pStyle w:val="54"/>
        <w:numPr>
          <w:ilvl w:val="0"/>
          <w:numId w:val="7"/>
        </w:numPr>
        <w:spacing w:line="360" w:lineRule="auto"/>
        <w:ind w:left="643" w:hanging="360" w:firstLine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批内精密度CV：≤5%</w:t>
      </w:r>
    </w:p>
    <w:p>
      <w:pPr>
        <w:pStyle w:val="54"/>
        <w:numPr>
          <w:ilvl w:val="0"/>
          <w:numId w:val="7"/>
        </w:numPr>
        <w:spacing w:line="360" w:lineRule="auto"/>
        <w:ind w:left="643" w:hanging="360"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rPr>
        <w:t>有效期≥12</w:t>
      </w:r>
      <w:r>
        <w:rPr>
          <w:rFonts w:hint="eastAsia" w:ascii="宋体" w:hAnsi="宋体" w:eastAsia="宋体" w:cs="宋体"/>
          <w:sz w:val="24"/>
          <w:szCs w:val="24"/>
          <w:lang w:val="en-US" w:eastAsia="zh-CN"/>
        </w:rPr>
        <w:t>个</w:t>
      </w:r>
      <w:r>
        <w:rPr>
          <w:rFonts w:hint="eastAsia" w:ascii="宋体" w:hAnsi="宋体" w:eastAsia="宋体" w:cs="宋体"/>
          <w:sz w:val="24"/>
          <w:szCs w:val="24"/>
        </w:rPr>
        <w:t>月</w:t>
      </w:r>
    </w:p>
    <w:p>
      <w:pPr>
        <w:pStyle w:val="54"/>
        <w:numPr>
          <w:ilvl w:val="0"/>
          <w:numId w:val="7"/>
        </w:numPr>
        <w:spacing w:line="360" w:lineRule="auto"/>
        <w:ind w:left="643" w:hanging="36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numPr>
          <w:ilvl w:val="0"/>
          <w:numId w:val="0"/>
        </w:numPr>
        <w:spacing w:line="360" w:lineRule="auto"/>
        <w:ind w:leftChars="0"/>
        <w:rPr>
          <w:rFonts w:hint="eastAsia" w:ascii="宋体" w:hAnsi="宋体" w:eastAsia="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淀粉样蛋白1-42检测试剂</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cs="宋体"/>
          <w:b w:val="0"/>
          <w:bCs w:val="0"/>
          <w:sz w:val="24"/>
          <w:szCs w:val="24"/>
          <w:lang w:val="en-US"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rPr>
        <w:t>用途：用于体外定量测定人血清或血浆中人β淀粉样蛋白(Aβ1-42)的含量</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样本要求：血浆/血清</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rPr>
        <w:t>线性范围：本试剂有效线性范围为31.25pg/ml~500pg/ml，浓度高于500pg/ml的样本需稀释后重新检测，推荐10倍为最大稀释比</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rPr>
        <w:t>储存条件及有效期限：试剂在2-8℃条件下储存，有效期</w:t>
      </w:r>
      <w:r>
        <w:rPr>
          <w:rFonts w:hint="eastAsia" w:ascii="宋体" w:hAnsi="宋体" w:eastAsia="宋体" w:cs="宋体"/>
          <w:sz w:val="24"/>
          <w:szCs w:val="24"/>
          <w:lang w:val="en-US" w:eastAsia="zh-CN"/>
        </w:rPr>
        <w:t>≥</w:t>
      </w:r>
      <w:r>
        <w:rPr>
          <w:rFonts w:hint="eastAsia" w:ascii="宋体" w:hAnsi="宋体" w:eastAsia="宋体" w:cs="宋体"/>
          <w:sz w:val="24"/>
          <w:szCs w:val="24"/>
        </w:rPr>
        <w:t>12个月。开封后试剂在2-8℃避光条件下可稳定</w:t>
      </w:r>
      <w:r>
        <w:rPr>
          <w:rFonts w:hint="eastAsia" w:ascii="宋体" w:hAnsi="宋体" w:eastAsia="宋体" w:cs="宋体"/>
          <w:sz w:val="24"/>
          <w:szCs w:val="24"/>
          <w:lang w:val="en-US" w:eastAsia="zh-CN"/>
        </w:rPr>
        <w:t>≥</w:t>
      </w:r>
      <w:r>
        <w:rPr>
          <w:rFonts w:hint="eastAsia" w:ascii="宋体" w:hAnsi="宋体" w:eastAsia="宋体" w:cs="宋体"/>
          <w:sz w:val="24"/>
          <w:szCs w:val="24"/>
        </w:rPr>
        <w:t>30天。</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rPr>
        <w:t>定标周期</w:t>
      </w:r>
      <w:r>
        <w:rPr>
          <w:rFonts w:hint="eastAsia" w:ascii="宋体" w:hAnsi="宋体" w:eastAsia="宋体" w:cs="宋体"/>
          <w:sz w:val="24"/>
          <w:szCs w:val="24"/>
          <w:lang w:val="en-US" w:eastAsia="zh-CN"/>
        </w:rPr>
        <w:t>≥</w:t>
      </w:r>
      <w:r>
        <w:rPr>
          <w:rFonts w:hint="eastAsia" w:ascii="宋体" w:hAnsi="宋体" w:eastAsia="宋体" w:cs="宋体"/>
          <w:sz w:val="24"/>
          <w:szCs w:val="24"/>
        </w:rPr>
        <w:t>14天</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rPr>
        <w:t>具备冷链运输条件</w:t>
      </w:r>
    </w:p>
    <w:p>
      <w:pPr>
        <w:pStyle w:val="54"/>
        <w:widowControl w:val="0"/>
        <w:numPr>
          <w:ilvl w:val="0"/>
          <w:numId w:val="9"/>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54"/>
        <w:widowControl w:val="0"/>
        <w:numPr>
          <w:ilvl w:val="0"/>
          <w:numId w:val="0"/>
        </w:numPr>
        <w:spacing w:line="360" w:lineRule="auto"/>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磷酸化tau-181蛋白检测试剂</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0"/>
        </w:numPr>
        <w:spacing w:line="360" w:lineRule="auto"/>
        <w:ind w:leftChars="0"/>
        <w:rPr>
          <w:rFonts w:hint="eastAsia" w:ascii="宋体" w:hAnsi="宋体" w:eastAsia="宋体" w:cs="Times New Roman"/>
          <w:b/>
          <w:sz w:val="28"/>
          <w:szCs w:val="20"/>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sz w:val="24"/>
        </w:rPr>
        <w:t>用途：本试剂用于体外定量测定人血清或血浆中人磷酸化P-tau-181的含量</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样本要求：血浆/血清</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rPr>
        <w:t>储存条件及有效期限</w:t>
      </w:r>
      <w:r>
        <w:rPr>
          <w:rFonts w:hint="eastAsia" w:ascii="宋体" w:hAnsi="宋体" w:eastAsia="宋体" w:cs="宋体"/>
          <w:sz w:val="24"/>
          <w:szCs w:val="24"/>
          <w:lang w:eastAsia="zh-CN"/>
        </w:rPr>
        <w:t>：</w:t>
      </w:r>
      <w:r>
        <w:rPr>
          <w:rFonts w:hint="eastAsia" w:ascii="宋体" w:hAnsi="宋体" w:eastAsia="宋体" w:cs="宋体"/>
          <w:sz w:val="24"/>
          <w:szCs w:val="24"/>
        </w:rPr>
        <w:t>试剂在2-8℃条件下储存，有效期</w:t>
      </w:r>
      <w:r>
        <w:rPr>
          <w:rFonts w:hint="eastAsia" w:ascii="宋体" w:hAnsi="宋体" w:eastAsia="宋体" w:cs="宋体"/>
          <w:sz w:val="24"/>
          <w:szCs w:val="24"/>
          <w:lang w:val="en-US" w:eastAsia="zh-CN"/>
        </w:rPr>
        <w:t>≥</w:t>
      </w:r>
      <w:r>
        <w:rPr>
          <w:rFonts w:hint="eastAsia" w:ascii="宋体" w:hAnsi="宋体" w:eastAsia="宋体" w:cs="宋体"/>
          <w:sz w:val="24"/>
          <w:szCs w:val="24"/>
        </w:rPr>
        <w:t>12个月。开封后试剂在2-8℃避光条件下可稳定</w:t>
      </w:r>
      <w:r>
        <w:rPr>
          <w:rFonts w:hint="eastAsia" w:ascii="宋体" w:hAnsi="宋体" w:eastAsia="宋体" w:cs="宋体"/>
          <w:sz w:val="24"/>
          <w:szCs w:val="24"/>
          <w:lang w:val="en-US" w:eastAsia="zh-CN"/>
        </w:rPr>
        <w:t>≥</w:t>
      </w:r>
      <w:r>
        <w:rPr>
          <w:rFonts w:hint="eastAsia" w:ascii="宋体" w:hAnsi="宋体" w:eastAsia="宋体" w:cs="宋体"/>
          <w:sz w:val="24"/>
          <w:szCs w:val="24"/>
        </w:rPr>
        <w:t>30天</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sz w:val="24"/>
        </w:rPr>
        <w:t>线性范围：5pg/ml~100pg/ml</w:t>
      </w:r>
    </w:p>
    <w:p>
      <w:pPr>
        <w:pStyle w:val="54"/>
        <w:widowControl w:val="0"/>
        <w:numPr>
          <w:ilvl w:val="0"/>
          <w:numId w:val="11"/>
        </w:numPr>
        <w:spacing w:line="360" w:lineRule="auto"/>
        <w:ind w:left="425" w:leftChars="0" w:hanging="425"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pStyle w:val="54"/>
        <w:widowControl w:val="0"/>
        <w:numPr>
          <w:ilvl w:val="0"/>
          <w:numId w:val="11"/>
        </w:numPr>
        <w:spacing w:line="360" w:lineRule="auto"/>
        <w:ind w:left="425" w:leftChars="0" w:hanging="425" w:firstLineChars="0"/>
        <w:jc w:val="both"/>
        <w:rPr>
          <w:rFonts w:hint="eastAsia" w:ascii="宋体" w:hAnsi="宋体" w:eastAsia="宋体" w:cs="Times New Roman"/>
          <w:b/>
          <w:sz w:val="28"/>
          <w:szCs w:val="20"/>
        </w:rPr>
      </w:pP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18"/>
        <w:widowControl w:val="0"/>
        <w:numPr>
          <w:ilvl w:val="0"/>
          <w:numId w:val="0"/>
        </w:numPr>
        <w:spacing w:line="360" w:lineRule="auto"/>
        <w:jc w:val="both"/>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包件五：</w:t>
      </w:r>
    </w:p>
    <w:p>
      <w:pPr>
        <w:pStyle w:val="54"/>
        <w:numPr>
          <w:ilvl w:val="0"/>
          <w:numId w:val="12"/>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全自动微生物质谱检测系统配套试剂</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用途：用于对微生物、SDA 平板上新鲜培养的霉菌待测样本进行预处理，阳性血瓶培养液的细胞破碎处理及病原菌的分离、富集。</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可检测样本种类：细菌、真菌等微生物纯培养物；SDA 平板上新鲜培养的霉菌；阳性血培养样本</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sz w:val="24"/>
          <w:szCs w:val="24"/>
          <w:lang w:val="en-US" w:eastAsia="zh-CN"/>
        </w:rPr>
        <w:t>有效期≥12个月</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包件六：</w:t>
      </w:r>
    </w:p>
    <w:p>
      <w:pPr>
        <w:pStyle w:val="54"/>
        <w:numPr>
          <w:ilvl w:val="0"/>
          <w:numId w:val="1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sz w:val="24"/>
          <w:szCs w:val="24"/>
          <w:lang w:val="en-US" w:eastAsia="zh-CN"/>
        </w:rPr>
        <w:t>胰岛功能评估激素测定试剂</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样本要求：血浆/血清</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检测指标:胰高血糖素/胰岛素</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试剂存储条件：2-8℃保存≥1年；开瓶后2-8℃稳定≥20天</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试剂有效期≥12个月</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准确度:相对偏差＜±15%</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批内精密度:CV≤10%,批件精密度:CV≤10%</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具备冷链运输条件</w:t>
      </w:r>
    </w:p>
    <w:p>
      <w:pPr>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A6165A21"/>
    <w:multiLevelType w:val="singleLevel"/>
    <w:tmpl w:val="A6165A21"/>
    <w:lvl w:ilvl="0" w:tentative="0">
      <w:start w:val="1"/>
      <w:numFmt w:val="chineseCounting"/>
      <w:suff w:val="nothing"/>
      <w:lvlText w:val="%1、"/>
      <w:lvlJc w:val="left"/>
      <w:pPr>
        <w:ind w:left="-420" w:firstLine="420"/>
      </w:pPr>
      <w:rPr>
        <w:rFonts w:hint="eastAsia"/>
      </w:rPr>
    </w:lvl>
  </w:abstractNum>
  <w:abstractNum w:abstractNumId="2">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3">
    <w:nsid w:val="C42DB215"/>
    <w:multiLevelType w:val="singleLevel"/>
    <w:tmpl w:val="C42DB215"/>
    <w:lvl w:ilvl="0" w:tentative="0">
      <w:start w:val="1"/>
      <w:numFmt w:val="decimal"/>
      <w:lvlText w:val="%1."/>
      <w:lvlJc w:val="left"/>
      <w:pPr>
        <w:ind w:left="425" w:hanging="425"/>
      </w:pPr>
      <w:rPr>
        <w:rFonts w:hint="default"/>
      </w:rPr>
    </w:lvl>
  </w:abstractNum>
  <w:abstractNum w:abstractNumId="4">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5">
    <w:nsid w:val="CD42E90B"/>
    <w:multiLevelType w:val="singleLevel"/>
    <w:tmpl w:val="CD42E90B"/>
    <w:lvl w:ilvl="0" w:tentative="0">
      <w:start w:val="2"/>
      <w:numFmt w:val="decimal"/>
      <w:suff w:val="nothing"/>
      <w:lvlText w:val="（%1）"/>
      <w:lvlJc w:val="left"/>
    </w:lvl>
  </w:abstractNum>
  <w:abstractNum w:abstractNumId="6">
    <w:nsid w:val="F7B197D8"/>
    <w:multiLevelType w:val="singleLevel"/>
    <w:tmpl w:val="F7B197D8"/>
    <w:lvl w:ilvl="0" w:tentative="0">
      <w:start w:val="1"/>
      <w:numFmt w:val="decimal"/>
      <w:lvlText w:val="%1."/>
      <w:lvlJc w:val="left"/>
      <w:pPr>
        <w:ind w:left="425" w:hanging="425"/>
      </w:pPr>
      <w:rPr>
        <w:rFonts w:hint="default"/>
        <w:b w:val="0"/>
        <w:bCs w:val="0"/>
        <w:sz w:val="24"/>
        <w:szCs w:val="24"/>
      </w:rPr>
    </w:lvl>
  </w:abstractNum>
  <w:abstractNum w:abstractNumId="7">
    <w:nsid w:val="05B89B93"/>
    <w:multiLevelType w:val="singleLevel"/>
    <w:tmpl w:val="05B89B93"/>
    <w:lvl w:ilvl="0" w:tentative="0">
      <w:start w:val="1"/>
      <w:numFmt w:val="decimal"/>
      <w:lvlText w:val="%1."/>
      <w:lvlJc w:val="left"/>
      <w:pPr>
        <w:ind w:left="425" w:hanging="425"/>
      </w:pPr>
      <w:rPr>
        <w:rFonts w:hint="default"/>
      </w:rPr>
    </w:lvl>
  </w:abstractNum>
  <w:abstractNum w:abstractNumId="8">
    <w:nsid w:val="0AD677C2"/>
    <w:multiLevelType w:val="multilevel"/>
    <w:tmpl w:val="0AD677C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167799E1"/>
    <w:multiLevelType w:val="singleLevel"/>
    <w:tmpl w:val="167799E1"/>
    <w:lvl w:ilvl="0" w:tentative="0">
      <w:start w:val="1"/>
      <w:numFmt w:val="decimal"/>
      <w:lvlText w:val="%1."/>
      <w:lvlJc w:val="left"/>
      <w:pPr>
        <w:ind w:left="425" w:hanging="425"/>
      </w:pPr>
      <w:rPr>
        <w:rFonts w:hint="default"/>
      </w:rPr>
    </w:lvl>
  </w:abstractNum>
  <w:abstractNum w:abstractNumId="10">
    <w:nsid w:val="1CED4591"/>
    <w:multiLevelType w:val="singleLevel"/>
    <w:tmpl w:val="1CED4591"/>
    <w:lvl w:ilvl="0" w:tentative="0">
      <w:start w:val="1"/>
      <w:numFmt w:val="chineseCounting"/>
      <w:suff w:val="nothing"/>
      <w:lvlText w:val="%1、"/>
      <w:lvlJc w:val="left"/>
      <w:pPr>
        <w:ind w:left="0" w:firstLine="420"/>
      </w:pPr>
      <w:rPr>
        <w:rFonts w:hint="eastAsia"/>
      </w:rPr>
    </w:lvl>
  </w:abstractNum>
  <w:abstractNum w:abstractNumId="11">
    <w:nsid w:val="2400466D"/>
    <w:multiLevelType w:val="singleLevel"/>
    <w:tmpl w:val="2400466D"/>
    <w:lvl w:ilvl="0" w:tentative="0">
      <w:start w:val="1"/>
      <w:numFmt w:val="chineseCounting"/>
      <w:suff w:val="nothing"/>
      <w:lvlText w:val="%1、"/>
      <w:lvlJc w:val="left"/>
      <w:pPr>
        <w:ind w:left="-420" w:firstLine="420"/>
      </w:pPr>
      <w:rPr>
        <w:rFonts w:hint="eastAsia" w:ascii="Times New Roman" w:hAnsi="Times New Roman" w:cs="Times New Roman"/>
      </w:rPr>
    </w:lvl>
  </w:abstractNum>
  <w:abstractNum w:abstractNumId="12">
    <w:nsid w:val="2C3CE711"/>
    <w:multiLevelType w:val="singleLevel"/>
    <w:tmpl w:val="2C3CE711"/>
    <w:lvl w:ilvl="0" w:tentative="0">
      <w:start w:val="1"/>
      <w:numFmt w:val="chineseCounting"/>
      <w:suff w:val="nothing"/>
      <w:lvlText w:val="%1、"/>
      <w:lvlJc w:val="left"/>
      <w:pPr>
        <w:ind w:left="-420" w:firstLine="420"/>
      </w:pPr>
      <w:rPr>
        <w:rFonts w:hint="eastAsia"/>
      </w:rPr>
    </w:lvl>
  </w:abstractNum>
  <w:abstractNum w:abstractNumId="13">
    <w:nsid w:val="4D49B974"/>
    <w:multiLevelType w:val="singleLevel"/>
    <w:tmpl w:val="4D49B974"/>
    <w:lvl w:ilvl="0" w:tentative="0">
      <w:start w:val="1"/>
      <w:numFmt w:val="decimal"/>
      <w:lvlText w:val="%1."/>
      <w:lvlJc w:val="left"/>
      <w:pPr>
        <w:ind w:left="425" w:hanging="425"/>
      </w:pPr>
      <w:rPr>
        <w:rFonts w:hint="default"/>
      </w:rPr>
    </w:lvl>
  </w:abstractNum>
  <w:abstractNum w:abstractNumId="14">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4"/>
  </w:num>
  <w:num w:numId="2">
    <w:abstractNumId w:val="5"/>
  </w:num>
  <w:num w:numId="3">
    <w:abstractNumId w:val="0"/>
  </w:num>
  <w:num w:numId="4">
    <w:abstractNumId w:val="2"/>
  </w:num>
  <w:num w:numId="5">
    <w:abstractNumId w:val="7"/>
  </w:num>
  <w:num w:numId="6">
    <w:abstractNumId w:val="4"/>
  </w:num>
  <w:num w:numId="7">
    <w:abstractNumId w:val="8"/>
  </w:num>
  <w:num w:numId="8">
    <w:abstractNumId w:val="10"/>
  </w:num>
  <w:num w:numId="9">
    <w:abstractNumId w:val="3"/>
  </w:num>
  <w:num w:numId="10">
    <w:abstractNumId w:val="11"/>
  </w:num>
  <w:num w:numId="11">
    <w:abstractNumId w:val="6"/>
  </w:num>
  <w:num w:numId="12">
    <w:abstractNumId w:val="12"/>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4B445AD"/>
    <w:rsid w:val="05333456"/>
    <w:rsid w:val="059503E5"/>
    <w:rsid w:val="05D709B3"/>
    <w:rsid w:val="06710E08"/>
    <w:rsid w:val="07C20BED"/>
    <w:rsid w:val="08FD6983"/>
    <w:rsid w:val="0A7753AE"/>
    <w:rsid w:val="0BDF2CAF"/>
    <w:rsid w:val="0BF00DA4"/>
    <w:rsid w:val="0D215488"/>
    <w:rsid w:val="0EF02652"/>
    <w:rsid w:val="0F0C212E"/>
    <w:rsid w:val="0FFD6BE5"/>
    <w:rsid w:val="11765654"/>
    <w:rsid w:val="126A0881"/>
    <w:rsid w:val="126B4FBE"/>
    <w:rsid w:val="129544B2"/>
    <w:rsid w:val="12E21F09"/>
    <w:rsid w:val="139C0D9D"/>
    <w:rsid w:val="13E44EDE"/>
    <w:rsid w:val="19530D66"/>
    <w:rsid w:val="19BC5BE6"/>
    <w:rsid w:val="19DC576F"/>
    <w:rsid w:val="1A355C22"/>
    <w:rsid w:val="1A5F06D7"/>
    <w:rsid w:val="1B09545F"/>
    <w:rsid w:val="1B9D23D8"/>
    <w:rsid w:val="1C7C757C"/>
    <w:rsid w:val="1DBB4EF2"/>
    <w:rsid w:val="1DBC650F"/>
    <w:rsid w:val="1E4F1A12"/>
    <w:rsid w:val="206F557C"/>
    <w:rsid w:val="21CA6472"/>
    <w:rsid w:val="22AA393E"/>
    <w:rsid w:val="23276141"/>
    <w:rsid w:val="23A41025"/>
    <w:rsid w:val="24161FB7"/>
    <w:rsid w:val="2458229A"/>
    <w:rsid w:val="2464469F"/>
    <w:rsid w:val="24C25007"/>
    <w:rsid w:val="25043F40"/>
    <w:rsid w:val="25BB1E93"/>
    <w:rsid w:val="25ED784B"/>
    <w:rsid w:val="25F11009"/>
    <w:rsid w:val="262A7ACF"/>
    <w:rsid w:val="271D349F"/>
    <w:rsid w:val="277C62E7"/>
    <w:rsid w:val="2B2963D3"/>
    <w:rsid w:val="2E095F27"/>
    <w:rsid w:val="2E287082"/>
    <w:rsid w:val="2E6E18BF"/>
    <w:rsid w:val="2E884201"/>
    <w:rsid w:val="2F2C5770"/>
    <w:rsid w:val="2F535254"/>
    <w:rsid w:val="315E1161"/>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911798"/>
    <w:rsid w:val="4CEE1CF2"/>
    <w:rsid w:val="4D25098E"/>
    <w:rsid w:val="4D77632F"/>
    <w:rsid w:val="4E7C3473"/>
    <w:rsid w:val="4FB81DC2"/>
    <w:rsid w:val="501778F7"/>
    <w:rsid w:val="50CF0D56"/>
    <w:rsid w:val="52C021AE"/>
    <w:rsid w:val="533613EF"/>
    <w:rsid w:val="5371335C"/>
    <w:rsid w:val="5389510F"/>
    <w:rsid w:val="54643684"/>
    <w:rsid w:val="54BD39A2"/>
    <w:rsid w:val="56E97E3E"/>
    <w:rsid w:val="584418D2"/>
    <w:rsid w:val="59A549DC"/>
    <w:rsid w:val="5BB838A1"/>
    <w:rsid w:val="5CDE5CFF"/>
    <w:rsid w:val="5CF501E7"/>
    <w:rsid w:val="5E4E4400"/>
    <w:rsid w:val="5E5E67D4"/>
    <w:rsid w:val="5EAC2763"/>
    <w:rsid w:val="60BA47AE"/>
    <w:rsid w:val="61E26848"/>
    <w:rsid w:val="63B05371"/>
    <w:rsid w:val="63D92820"/>
    <w:rsid w:val="63E1229E"/>
    <w:rsid w:val="6486454F"/>
    <w:rsid w:val="64917820"/>
    <w:rsid w:val="64D46E8B"/>
    <w:rsid w:val="6688474A"/>
    <w:rsid w:val="67C41429"/>
    <w:rsid w:val="684E60CA"/>
    <w:rsid w:val="685F15E7"/>
    <w:rsid w:val="690540BF"/>
    <w:rsid w:val="698F11EF"/>
    <w:rsid w:val="699B0761"/>
    <w:rsid w:val="6A0856B9"/>
    <w:rsid w:val="6A664098"/>
    <w:rsid w:val="6C146FEA"/>
    <w:rsid w:val="6CE12E64"/>
    <w:rsid w:val="6CEA0C57"/>
    <w:rsid w:val="6D024D8C"/>
    <w:rsid w:val="6E254FCE"/>
    <w:rsid w:val="6ECC7A0D"/>
    <w:rsid w:val="706B18B9"/>
    <w:rsid w:val="709F0097"/>
    <w:rsid w:val="70EA395C"/>
    <w:rsid w:val="71C45194"/>
    <w:rsid w:val="7397006E"/>
    <w:rsid w:val="740D6797"/>
    <w:rsid w:val="748B756C"/>
    <w:rsid w:val="75CC49D7"/>
    <w:rsid w:val="76C539AC"/>
    <w:rsid w:val="76DF790C"/>
    <w:rsid w:val="77C35AEB"/>
    <w:rsid w:val="788B60FC"/>
    <w:rsid w:val="79715BD1"/>
    <w:rsid w:val="7A5944E4"/>
    <w:rsid w:val="7C3A20F4"/>
    <w:rsid w:val="7C514E63"/>
    <w:rsid w:val="7C8C21E7"/>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7158</Words>
  <Characters>7939</Characters>
  <Lines>12</Lines>
  <Paragraphs>17</Paragraphs>
  <TotalTime>4</TotalTime>
  <ScaleCrop>false</ScaleCrop>
  <LinksUpToDate>false</LinksUpToDate>
  <CharactersWithSpaces>8059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2025-01-03T03:11:21Z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y fmtid="{D5CDD505-2E9C-101B-9397-08002B2CF9AE}" pid="4" name="KSOTemplateDocerSaveRecord">
    <vt:lpwstr>eyJoZGlkIjoiMTYwZWVhNGNiN2Q0NGQxYTM5NDI5ZjE1NmI5N2I5NGYiLCJ1c2VySWQiOiIzNTI1MTQ3ODQifQ==</vt:lpwstr>
  </property>
</Properties>
</file>