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rPr>
      </w:pPr>
      <w:bookmarkStart w:id="0" w:name="_Toc209852933"/>
      <w:bookmarkStart w:id="1" w:name="_Toc9066358"/>
    </w:p>
    <w:p>
      <w:pPr>
        <w:tabs>
          <w:tab w:val="left" w:pos="3150"/>
        </w:tabs>
        <w:spacing w:line="360" w:lineRule="auto"/>
        <w:jc w:val="center"/>
        <w:rPr>
          <w:rFonts w:ascii="宋体" w:hAnsi="宋体" w:eastAsia="宋体" w:cs="Times New Roman"/>
          <w:b/>
          <w:sz w:val="72"/>
          <w:szCs w:val="72"/>
        </w:rPr>
      </w:pPr>
      <w:r>
        <w:rPr>
          <w:rFonts w:hint="eastAsia" w:ascii="宋体" w:hAnsi="宋体" w:eastAsia="宋体" w:cs="Times New Roman"/>
          <w:b/>
          <w:sz w:val="72"/>
          <w:szCs w:val="72"/>
        </w:rPr>
        <w:t>上海市中医医院</w:t>
      </w:r>
    </w:p>
    <w:p>
      <w:pPr>
        <w:adjustRightInd w:val="0"/>
        <w:spacing w:line="360" w:lineRule="auto"/>
        <w:jc w:val="center"/>
        <w:textAlignment w:val="baseline"/>
        <w:outlineLvl w:val="0"/>
        <w:rPr>
          <w:rFonts w:ascii="宋体" w:hAnsi="宋体" w:eastAsia="宋体" w:cs="Times New Roman"/>
          <w:b/>
          <w:sz w:val="72"/>
          <w:szCs w:val="72"/>
        </w:rPr>
      </w:pPr>
      <w:r>
        <w:rPr>
          <w:rFonts w:hint="eastAsia" w:ascii="宋体" w:hAnsi="宋体" w:eastAsia="宋体" w:cs="Times New Roman"/>
          <w:b/>
          <w:sz w:val="72"/>
          <w:szCs w:val="72"/>
        </w:rPr>
        <w:t>院内招标</w:t>
      </w:r>
      <w:r>
        <w:rPr>
          <w:rFonts w:ascii="宋体" w:hAnsi="宋体" w:eastAsia="宋体" w:cs="Times New Roman"/>
          <w:b/>
          <w:sz w:val="72"/>
          <w:szCs w:val="72"/>
        </w:rPr>
        <w:t>文件</w:t>
      </w:r>
      <w:bookmarkEnd w:id="0"/>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ascii="宋体" w:hAnsi="宋体" w:eastAsia="宋体" w:cs="Times New Roman"/>
          <w:b/>
          <w:sz w:val="32"/>
          <w:szCs w:val="20"/>
        </w:rPr>
      </w:pPr>
    </w:p>
    <w:p>
      <w:pPr>
        <w:tabs>
          <w:tab w:val="left" w:pos="3150"/>
        </w:tabs>
        <w:spacing w:line="360" w:lineRule="auto"/>
        <w:jc w:val="center"/>
        <w:rPr>
          <w:rFonts w:hint="eastAsia" w:ascii="宋体" w:hAnsi="宋体" w:eastAsia="宋体" w:cs="Times New Roman"/>
          <w:b/>
          <w:sz w:val="52"/>
          <w:szCs w:val="52"/>
          <w:highlight w:val="none"/>
          <w:lang w:val="en-US" w:eastAsia="zh-CN"/>
        </w:rPr>
      </w:pPr>
      <w:r>
        <w:rPr>
          <w:rFonts w:hint="eastAsia" w:ascii="宋体" w:hAnsi="宋体" w:eastAsia="宋体" w:cs="Times New Roman"/>
          <w:b/>
          <w:sz w:val="52"/>
          <w:szCs w:val="52"/>
          <w:highlight w:val="none"/>
          <w:lang w:val="en-US" w:eastAsia="zh-CN"/>
        </w:rPr>
        <w:t>血栓弹力图试验试剂盒等试剂项目</w:t>
      </w:r>
    </w:p>
    <w:p>
      <w:pPr>
        <w:tabs>
          <w:tab w:val="left" w:pos="3150"/>
        </w:tabs>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询价通知书</w:t>
      </w: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sz w:val="36"/>
          <w:szCs w:val="36"/>
        </w:rPr>
      </w:pPr>
    </w:p>
    <w:p>
      <w:pPr>
        <w:tabs>
          <w:tab w:val="left" w:pos="2730"/>
        </w:tabs>
        <w:spacing w:line="360" w:lineRule="auto"/>
        <w:ind w:left="723" w:hanging="720" w:hangingChars="200"/>
        <w:jc w:val="center"/>
        <w:rPr>
          <w:rFonts w:ascii="宋体" w:hAnsi="宋体" w:eastAsia="宋体" w:cs="Times New Roman"/>
          <w:b/>
          <w:bCs/>
          <w:sz w:val="36"/>
          <w:szCs w:val="36"/>
          <w:highlight w:val="none"/>
        </w:rPr>
      </w:pPr>
      <w:r>
        <w:rPr>
          <w:rFonts w:ascii="宋体" w:hAnsi="宋体" w:eastAsia="宋体" w:cs="Times New Roman"/>
          <w:b/>
          <w:sz w:val="36"/>
          <w:szCs w:val="36"/>
          <w:highlight w:val="none"/>
        </w:rPr>
        <w:t>202</w:t>
      </w:r>
      <w:r>
        <w:rPr>
          <w:rFonts w:hint="eastAsia" w:ascii="宋体" w:hAnsi="宋体" w:eastAsia="宋体" w:cs="Times New Roman"/>
          <w:b/>
          <w:sz w:val="36"/>
          <w:szCs w:val="36"/>
          <w:highlight w:val="none"/>
          <w:lang w:val="en-US" w:eastAsia="zh-CN"/>
        </w:rPr>
        <w:t>4</w:t>
      </w:r>
      <w:r>
        <w:rPr>
          <w:rFonts w:ascii="宋体" w:hAnsi="宋体" w:eastAsia="宋体" w:cs="Times New Roman"/>
          <w:b/>
          <w:sz w:val="36"/>
          <w:szCs w:val="36"/>
          <w:highlight w:val="none"/>
        </w:rPr>
        <w:t>年</w:t>
      </w:r>
      <w:r>
        <w:rPr>
          <w:rFonts w:hint="eastAsia" w:ascii="宋体" w:hAnsi="宋体" w:eastAsia="宋体" w:cs="Times New Roman"/>
          <w:b/>
          <w:sz w:val="36"/>
          <w:szCs w:val="36"/>
          <w:highlight w:val="none"/>
          <w:lang w:val="en-US" w:eastAsia="zh-CN"/>
        </w:rPr>
        <w:t>09</w:t>
      </w:r>
      <w:r>
        <w:rPr>
          <w:rFonts w:ascii="宋体" w:hAnsi="宋体" w:eastAsia="宋体" w:cs="Times New Roman"/>
          <w:b/>
          <w:sz w:val="36"/>
          <w:szCs w:val="36"/>
          <w:highlight w:val="none"/>
        </w:rPr>
        <w:t>月</w:t>
      </w:r>
      <w:r>
        <w:rPr>
          <w:rFonts w:hint="eastAsia" w:ascii="宋体" w:hAnsi="宋体" w:eastAsia="宋体" w:cs="Times New Roman"/>
          <w:b/>
          <w:sz w:val="36"/>
          <w:szCs w:val="36"/>
          <w:highlight w:val="none"/>
          <w:lang w:val="en-US" w:eastAsia="zh-CN"/>
        </w:rPr>
        <w:t>27</w:t>
      </w:r>
      <w:r>
        <w:rPr>
          <w:rFonts w:ascii="宋体" w:hAnsi="宋体" w:eastAsia="宋体" w:cs="Times New Roman"/>
          <w:b/>
          <w:sz w:val="36"/>
          <w:szCs w:val="36"/>
          <w:highlight w:val="none"/>
        </w:rPr>
        <w:t>日</w:t>
      </w:r>
    </w:p>
    <w:p>
      <w:pPr>
        <w:pageBreakBefore/>
        <w:tabs>
          <w:tab w:val="left" w:pos="2730"/>
        </w:tabs>
        <w:spacing w:line="360" w:lineRule="auto"/>
        <w:ind w:left="964" w:hanging="960" w:hangingChars="200"/>
        <w:jc w:val="center"/>
        <w:rPr>
          <w:rFonts w:ascii="宋体" w:hAnsi="宋体" w:eastAsia="宋体" w:cs="Times New Roman"/>
          <w:b/>
          <w:bCs/>
          <w:sz w:val="48"/>
          <w:szCs w:val="20"/>
        </w:rPr>
      </w:pPr>
    </w:p>
    <w:p>
      <w:pPr>
        <w:spacing w:line="360" w:lineRule="auto"/>
        <w:ind w:left="964" w:hanging="960" w:hangingChars="200"/>
        <w:jc w:val="center"/>
        <w:rPr>
          <w:rFonts w:ascii="宋体" w:hAnsi="宋体" w:eastAsia="宋体" w:cs="Times New Roman"/>
          <w:b/>
          <w:bCs/>
          <w:sz w:val="48"/>
          <w:szCs w:val="20"/>
        </w:rPr>
      </w:pPr>
    </w:p>
    <w:p>
      <w:pPr>
        <w:spacing w:line="360" w:lineRule="auto"/>
        <w:ind w:left="723" w:hanging="720" w:hangingChars="200"/>
        <w:jc w:val="center"/>
        <w:rPr>
          <w:rFonts w:ascii="宋体" w:hAnsi="宋体" w:eastAsia="宋体" w:cs="Times New Roman"/>
          <w:b/>
          <w:bCs/>
          <w:sz w:val="36"/>
          <w:szCs w:val="20"/>
        </w:rPr>
      </w:pPr>
      <w:r>
        <w:rPr>
          <w:rFonts w:hint="eastAsia" w:ascii="宋体" w:hAnsi="宋体" w:eastAsia="宋体" w:cs="Times New Roman"/>
          <w:b/>
          <w:bCs/>
          <w:sz w:val="36"/>
          <w:szCs w:val="20"/>
        </w:rPr>
        <w:t>目录</w:t>
      </w:r>
    </w:p>
    <w:p>
      <w:pPr>
        <w:spacing w:line="360" w:lineRule="auto"/>
        <w:ind w:left="199" w:hanging="198" w:hangingChars="55"/>
        <w:rPr>
          <w:rFonts w:ascii="宋体" w:hAnsi="宋体" w:eastAsia="宋体" w:cs="Times New Roman"/>
          <w:b/>
          <w:bCs/>
          <w:sz w:val="36"/>
          <w:szCs w:val="20"/>
        </w:rPr>
      </w:pPr>
    </w:p>
    <w:p>
      <w:pPr>
        <w:tabs>
          <w:tab w:val="left" w:pos="945"/>
          <w:tab w:val="right" w:leader="dot" w:pos="8777"/>
        </w:tabs>
        <w:spacing w:before="120" w:after="120" w:line="360" w:lineRule="exact"/>
        <w:rPr>
          <w:rFonts w:ascii="Calibri" w:hAnsi="Calibri" w:eastAsia="宋体" w:cs="Times New Roman"/>
        </w:rPr>
      </w:pPr>
      <w:r>
        <w:rPr>
          <w:rFonts w:ascii="宋体" w:hAnsi="宋体" w:eastAsia="宋体" w:cs="Times New Roman"/>
          <w:b/>
          <w:sz w:val="24"/>
          <w:szCs w:val="36"/>
        </w:rPr>
        <w:fldChar w:fldCharType="begin"/>
      </w:r>
      <w:r>
        <w:rPr>
          <w:rFonts w:ascii="宋体" w:hAnsi="宋体" w:eastAsia="宋体" w:cs="Times New Roman"/>
          <w:b/>
          <w:sz w:val="24"/>
          <w:szCs w:val="36"/>
        </w:rPr>
        <w:instrText xml:space="preserve"> TOC \h \z \t "ifb,1,sor,1,bds,1,cbds,1" </w:instrText>
      </w:r>
      <w:r>
        <w:rPr>
          <w:rFonts w:ascii="宋体" w:hAnsi="宋体" w:eastAsia="宋体" w:cs="Times New Roman"/>
          <w:b/>
          <w:sz w:val="24"/>
          <w:szCs w:val="36"/>
        </w:rPr>
        <w:fldChar w:fldCharType="separate"/>
      </w:r>
      <w:r>
        <w:fldChar w:fldCharType="begin"/>
      </w:r>
      <w:r>
        <w:instrText xml:space="preserve"> HYPERLINK \l "_Toc11326092" </w:instrText>
      </w:r>
      <w:r>
        <w:fldChar w:fldCharType="separate"/>
      </w:r>
      <w:r>
        <w:rPr>
          <w:rFonts w:hint="eastAsia" w:ascii="宋体" w:hAnsi="宋体" w:eastAsia="宋体" w:cs="Times New Roman"/>
          <w:b/>
          <w:color w:val="0000FF"/>
          <w:sz w:val="24"/>
          <w:szCs w:val="36"/>
          <w:u w:val="single"/>
        </w:rPr>
        <w:t>第一章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投标邀</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2</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宋体" w:cs="Times New Roman"/>
        </w:rPr>
      </w:pPr>
      <w:r>
        <w:fldChar w:fldCharType="begin"/>
      </w:r>
      <w:r>
        <w:instrText xml:space="preserve"> HYPERLINK \l "_Toc11326093" </w:instrText>
      </w:r>
      <w:r>
        <w:fldChar w:fldCharType="separate"/>
      </w:r>
      <w:r>
        <w:rPr>
          <w:rFonts w:hint="eastAsia" w:ascii="宋体" w:hAnsi="宋体" w:eastAsia="宋体" w:cs="Times New Roman"/>
          <w:b/>
          <w:color w:val="0000FF"/>
          <w:sz w:val="24"/>
          <w:szCs w:val="36"/>
          <w:u w:val="single"/>
        </w:rPr>
        <w:t>第二章</w:t>
      </w:r>
      <w:r>
        <w:rPr>
          <w:rFonts w:ascii="宋体" w:hAnsi="宋体" w:eastAsia="宋体" w:cs="Times New Roman"/>
          <w:b/>
          <w:color w:val="0000FF"/>
          <w:sz w:val="24"/>
          <w:szCs w:val="36"/>
          <w:u w:val="single"/>
        </w:rPr>
        <w:t xml:space="preserve"> </w:t>
      </w:r>
      <w:r>
        <w:rPr>
          <w:rFonts w:ascii="Calibri" w:hAnsi="Calibri" w:eastAsia="宋体" w:cs="Times New Roman"/>
        </w:rPr>
        <w:tab/>
      </w:r>
      <w:r>
        <w:rPr>
          <w:rFonts w:hint="eastAsia" w:ascii="宋体" w:hAnsi="宋体" w:eastAsia="宋体" w:cs="Times New Roman"/>
          <w:b/>
          <w:color w:val="0000FF"/>
          <w:sz w:val="24"/>
          <w:szCs w:val="36"/>
          <w:u w:val="single"/>
        </w:rPr>
        <w:t>投标资料表</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3</w:t>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"_Toc11326094" </w:instrText>
      </w:r>
      <w:r>
        <w:fldChar w:fldCharType="separate"/>
      </w:r>
      <w:r>
        <w:rPr>
          <w:rFonts w:hint="eastAsia" w:ascii="宋体" w:hAnsi="宋体" w:eastAsia="宋体" w:cs="Times New Roman"/>
          <w:b/>
          <w:color w:val="0000FF"/>
          <w:sz w:val="24"/>
          <w:szCs w:val="36"/>
          <w:u w:val="single"/>
        </w:rPr>
        <w:t>第三章</w:t>
      </w:r>
      <w:r>
        <w:rPr>
          <w:rFonts w:ascii="Calibri" w:hAnsi="Calibri" w:eastAsia="宋体" w:cs="Times New Roman"/>
        </w:rPr>
        <w:tab/>
      </w:r>
      <w:r>
        <w:rPr>
          <w:rFonts w:hint="eastAsia" w:ascii="宋体" w:hAnsi="宋体" w:eastAsia="宋体" w:cs="Times New Roman"/>
          <w:b/>
          <w:color w:val="0000FF"/>
          <w:sz w:val="24"/>
          <w:szCs w:val="36"/>
          <w:u w:val="single"/>
        </w:rPr>
        <w:t>合同专用条款</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rPr>
        <w:t>0</w:t>
      </w:r>
    </w:p>
    <w:p>
      <w:pPr>
        <w:tabs>
          <w:tab w:val="left" w:pos="945"/>
          <w:tab w:val="right" w:leader="dot" w:pos="8777"/>
        </w:tabs>
        <w:spacing w:before="120" w:after="120" w:line="360" w:lineRule="exact"/>
        <w:rPr>
          <w:rFonts w:ascii="Calibri" w:hAnsi="Calibri" w:eastAsia="华文仿宋" w:cs="Times New Roman"/>
        </w:rPr>
      </w:pPr>
      <w:r>
        <w:fldChar w:fldCharType="begin"/>
      </w:r>
      <w:r>
        <w:instrText xml:space="preserve"> HYPERLINK \l "_Toc11326095" </w:instrText>
      </w:r>
      <w:r>
        <w:fldChar w:fldCharType="separate"/>
      </w:r>
      <w:r>
        <w:rPr>
          <w:rFonts w:hint="eastAsia" w:ascii="宋体" w:hAnsi="宋体" w:eastAsia="宋体" w:cs="Times New Roman"/>
          <w:b/>
          <w:color w:val="0000FF"/>
          <w:sz w:val="24"/>
          <w:szCs w:val="36"/>
          <w:u w:val="single"/>
        </w:rPr>
        <w:t>第四章</w:t>
      </w:r>
      <w:r>
        <w:rPr>
          <w:rFonts w:ascii="Calibri" w:hAnsi="Calibri" w:eastAsia="宋体" w:cs="Times New Roman"/>
        </w:rPr>
        <w:tab/>
      </w:r>
      <w:r>
        <w:rPr>
          <w:rFonts w:hint="eastAsia" w:ascii="宋体" w:hAnsi="宋体" w:eastAsia="宋体" w:cs="Times New Roman"/>
          <w:b/>
          <w:color w:val="0000FF"/>
          <w:sz w:val="24"/>
          <w:szCs w:val="36"/>
          <w:u w:val="single"/>
        </w:rPr>
        <w:t>货物需求一览表及技术规格</w:t>
      </w:r>
      <w:r>
        <w:rPr>
          <w:rFonts w:ascii="Times New Roman" w:hAnsi="Times New Roman" w:eastAsia="华文仿宋" w:cs="Times New Roman"/>
          <w:b/>
          <w:sz w:val="24"/>
          <w:szCs w:val="36"/>
        </w:rPr>
        <w:tab/>
      </w:r>
      <w:r>
        <w:rPr>
          <w:rFonts w:ascii="Times New Roman" w:hAnsi="Times New Roman" w:eastAsia="华文仿宋" w:cs="Times New Roman"/>
          <w:b/>
          <w:sz w:val="24"/>
          <w:szCs w:val="36"/>
        </w:rPr>
        <w:fldChar w:fldCharType="begin"/>
      </w:r>
      <w:r>
        <w:rPr>
          <w:rFonts w:ascii="Times New Roman" w:hAnsi="Times New Roman" w:eastAsia="华文仿宋" w:cs="Times New Roman"/>
          <w:b/>
          <w:sz w:val="24"/>
          <w:szCs w:val="36"/>
        </w:rPr>
        <w:instrText xml:space="preserve"> PAGEREF _Toc11326095 \h </w:instrText>
      </w:r>
      <w:r>
        <w:rPr>
          <w:rFonts w:ascii="Times New Roman" w:hAnsi="Times New Roman" w:eastAsia="华文仿宋" w:cs="Times New Roman"/>
          <w:b/>
          <w:sz w:val="24"/>
          <w:szCs w:val="36"/>
        </w:rPr>
        <w:fldChar w:fldCharType="separate"/>
      </w:r>
      <w:r>
        <w:rPr>
          <w:rFonts w:ascii="Times New Roman" w:hAnsi="Times New Roman" w:eastAsia="华文仿宋" w:cs="Times New Roman"/>
          <w:b/>
          <w:sz w:val="24"/>
          <w:szCs w:val="36"/>
        </w:rPr>
        <w:t>1</w:t>
      </w:r>
      <w:r>
        <w:rPr>
          <w:rFonts w:hint="eastAsia" w:ascii="Times New Roman" w:hAnsi="Times New Roman" w:eastAsia="华文仿宋" w:cs="Times New Roman"/>
          <w:b/>
          <w:sz w:val="24"/>
          <w:szCs w:val="36"/>
          <w:lang w:val="en-US" w:eastAsia="zh-CN"/>
        </w:rPr>
        <w:t>1</w:t>
      </w:r>
      <w:r>
        <w:rPr>
          <w:rFonts w:ascii="Times New Roman" w:hAnsi="Times New Roman" w:eastAsia="华文仿宋" w:cs="Times New Roman"/>
          <w:b/>
          <w:sz w:val="24"/>
          <w:szCs w:val="36"/>
        </w:rPr>
        <w:fldChar w:fldCharType="end"/>
      </w:r>
      <w:r>
        <w:rPr>
          <w:rFonts w:ascii="Times New Roman" w:hAnsi="Times New Roman" w:eastAsia="华文仿宋" w:cs="Times New Roman"/>
          <w:b/>
          <w:sz w:val="24"/>
          <w:szCs w:val="36"/>
        </w:rPr>
        <w:fldChar w:fldCharType="end"/>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"_Toc11326096"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1</w:t>
      </w:r>
      <w:r>
        <w:rPr>
          <w:rFonts w:hint="eastAsia" w:ascii="宋体" w:hAnsi="宋体" w:eastAsia="宋体" w:cs="Times New Roman"/>
          <w:b/>
          <w:color w:val="0000FF"/>
          <w:sz w:val="24"/>
          <w:szCs w:val="36"/>
          <w:u w:val="single"/>
        </w:rPr>
        <w:t>：无重大违法记录承诺书（格式）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w:t>
      </w:r>
      <w:r>
        <w:rPr>
          <w:rFonts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3</w:t>
      </w:r>
    </w:p>
    <w:p>
      <w:pPr>
        <w:tabs>
          <w:tab w:val="left" w:pos="945"/>
          <w:tab w:val="right" w:leader="dot" w:pos="8777"/>
        </w:tabs>
        <w:spacing w:before="120" w:after="120" w:line="360" w:lineRule="exact"/>
        <w:rPr>
          <w:rFonts w:hint="eastAsia" w:ascii="Calibri" w:hAnsi="Calibri" w:eastAsia="华文仿宋" w:cs="Times New Roman"/>
          <w:lang w:val="en-US" w:eastAsia="zh-CN"/>
        </w:rPr>
      </w:pPr>
      <w:r>
        <w:fldChar w:fldCharType="begin"/>
      </w:r>
      <w:r>
        <w:instrText xml:space="preserve"> HYPERLINK \l "_Toc11326097" </w:instrText>
      </w:r>
      <w:r>
        <w:fldChar w:fldCharType="separate"/>
      </w:r>
      <w:r>
        <w:rPr>
          <w:rFonts w:hint="eastAsia" w:ascii="宋体" w:hAnsi="宋体" w:eastAsia="宋体" w:cs="Times New Roman"/>
          <w:b/>
          <w:color w:val="0000FF"/>
          <w:sz w:val="24"/>
          <w:szCs w:val="36"/>
          <w:u w:val="single"/>
        </w:rPr>
        <w:t>附件</w:t>
      </w:r>
      <w:r>
        <w:rPr>
          <w:rFonts w:ascii="宋体" w:hAnsi="宋体" w:eastAsia="宋体" w:cs="Times New Roman"/>
          <w:b/>
          <w:color w:val="0000FF"/>
          <w:sz w:val="24"/>
          <w:szCs w:val="36"/>
          <w:u w:val="single"/>
        </w:rPr>
        <w:t>2</w:t>
      </w:r>
      <w:r>
        <w:rPr>
          <w:rFonts w:hint="eastAsia" w:ascii="宋体" w:hAnsi="宋体" w:eastAsia="宋体" w:cs="Times New Roman"/>
          <w:b/>
          <w:color w:val="0000FF"/>
          <w:sz w:val="24"/>
          <w:szCs w:val="36"/>
          <w:u w:val="single"/>
        </w:rPr>
        <w:t>：无行贿犯罪记录声明函（格式）</w:t>
      </w:r>
      <w:r>
        <w:rPr>
          <w:rFonts w:ascii="Times New Roman" w:hAnsi="Times New Roman" w:eastAsia="华文仿宋" w:cs="Times New Roman"/>
          <w:b/>
          <w:sz w:val="24"/>
          <w:szCs w:val="36"/>
        </w:rPr>
        <w:tab/>
      </w:r>
      <w:r>
        <w:rPr>
          <w:rFonts w:hint="eastAsia" w:ascii="Times New Roman" w:hAnsi="Times New Roman" w:eastAsia="华文仿宋" w:cs="Times New Roman"/>
          <w:b/>
          <w:sz w:val="24"/>
          <w:szCs w:val="36"/>
          <w:lang w:val="en-US" w:eastAsia="zh-CN"/>
        </w:rPr>
        <w:t>1</w:t>
      </w:r>
      <w:r>
        <w:rPr>
          <w:rFonts w:hint="eastAsia" w:ascii="Times New Roman" w:hAnsi="Times New Roman" w:eastAsia="华文仿宋" w:cs="Times New Roman"/>
          <w:b/>
          <w:sz w:val="24"/>
          <w:szCs w:val="36"/>
        </w:rPr>
        <w:fldChar w:fldCharType="end"/>
      </w:r>
      <w:r>
        <w:rPr>
          <w:rFonts w:hint="eastAsia" w:ascii="Times New Roman" w:hAnsi="Times New Roman" w:eastAsia="华文仿宋" w:cs="Times New Roman"/>
          <w:b/>
          <w:sz w:val="24"/>
          <w:szCs w:val="36"/>
          <w:lang w:val="en-US" w:eastAsia="zh-CN"/>
        </w:rPr>
        <w:t>4</w:t>
      </w:r>
    </w:p>
    <w:p>
      <w:pPr>
        <w:rPr>
          <w:rFonts w:ascii="宋体" w:hAnsi="宋体" w:eastAsia="宋体" w:cs="Times New Roman"/>
          <w:szCs w:val="20"/>
        </w:rPr>
        <w:sectPr>
          <w:headerReference r:id="rId5" w:type="first"/>
          <w:headerReference r:id="rId3" w:type="default"/>
          <w:footerReference r:id="rId6" w:type="default"/>
          <w:headerReference r:id="rId4" w:type="even"/>
          <w:footerReference r:id="rId7" w:type="even"/>
          <w:pgSz w:w="11906" w:h="16838"/>
          <w:pgMar w:top="1418" w:right="1077" w:bottom="1242" w:left="1077" w:header="567" w:footer="567" w:gutter="0"/>
          <w:pgNumType w:start="0"/>
          <w:cols w:space="425" w:num="1"/>
          <w:titlePg/>
          <w:docGrid w:type="linesAndChars" w:linePitch="312" w:charSpace="0"/>
        </w:sectPr>
      </w:pPr>
      <w:r>
        <w:fldChar w:fldCharType="end"/>
      </w:r>
    </w:p>
    <w:bookmarkEnd w:id="1"/>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2" w:name="OLE_LINK16"/>
      <w:bookmarkStart w:id="3" w:name="OLE_LINK11"/>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询价邀请</w:t>
      </w:r>
    </w:p>
    <w:p>
      <w:pPr>
        <w:spacing w:line="360" w:lineRule="auto"/>
        <w:ind w:left="425" w:hanging="424" w:hangingChars="177"/>
        <w:rPr>
          <w:rFonts w:ascii="宋体" w:hAnsi="宋体" w:eastAsia="宋体" w:cs="Times New Roman"/>
          <w:sz w:val="24"/>
          <w:szCs w:val="24"/>
        </w:rPr>
      </w:pPr>
      <w:bookmarkStart w:id="4" w:name="_Toc461613005"/>
      <w:bookmarkStart w:id="5"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、上海市中医医院现以公开采购的方式邀请合格的供应商就下列所提供的货物和相关服务提交密封询价文件。</w:t>
      </w:r>
    </w:p>
    <w:p>
      <w:pPr>
        <w:autoSpaceDE w:val="0"/>
        <w:autoSpaceDN w:val="0"/>
        <w:spacing w:line="360" w:lineRule="auto"/>
        <w:ind w:left="360" w:firstLine="64" w:firstLineChars="27"/>
        <w:rPr>
          <w:rFonts w:hint="eastAsia" w:ascii="宋体" w:hAnsi="宋体" w:eastAsia="宋体" w:cs="宋体"/>
          <w:kern w:val="0"/>
          <w:sz w:val="24"/>
          <w:szCs w:val="24"/>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cs="宋体"/>
          <w:kern w:val="0"/>
          <w:sz w:val="24"/>
          <w:szCs w:val="24"/>
          <w:lang w:val="en-US" w:eastAsia="zh-CN"/>
        </w:rPr>
        <w:t>项目</w:t>
      </w:r>
      <w:r>
        <w:rPr>
          <w:rFonts w:hint="eastAsia" w:ascii="宋体" w:hAnsi="宋体" w:eastAsia="宋体" w:cs="宋体"/>
          <w:kern w:val="0"/>
          <w:sz w:val="24"/>
          <w:szCs w:val="24"/>
        </w:rPr>
        <w:t>名称：</w:t>
      </w:r>
      <w:bookmarkEnd w:id="4"/>
      <w:bookmarkEnd w:id="5"/>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包件一：血栓弹力图试验试剂盒</w:t>
      </w:r>
    </w:p>
    <w:p>
      <w:pPr>
        <w:autoSpaceDE w:val="0"/>
        <w:autoSpaceDN w:val="0"/>
        <w:spacing w:line="360" w:lineRule="auto"/>
        <w:ind w:left="360" w:firstLine="1020" w:firstLineChars="425"/>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包件二：凝血激活检测试剂盒</w:t>
      </w:r>
    </w:p>
    <w:p>
      <w:pPr>
        <w:autoSpaceDE w:val="0"/>
        <w:autoSpaceDN w:val="0"/>
        <w:spacing w:line="360" w:lineRule="auto"/>
        <w:ind w:left="360" w:firstLine="1020" w:firstLineChars="425"/>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包件三：活化凝血检测试剂盒</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服务期限：合同签订后2年</w:t>
      </w:r>
    </w:p>
    <w:p>
      <w:pPr>
        <w:numPr>
          <w:ilvl w:val="0"/>
          <w:numId w:val="2"/>
        </w:numPr>
        <w:autoSpaceDE w:val="0"/>
        <w:autoSpaceDN w:val="0"/>
        <w:spacing w:line="360" w:lineRule="auto"/>
        <w:ind w:left="360" w:firstLine="64" w:firstLineChars="27"/>
        <w:rPr>
          <w:rFonts w:hint="eastAsia" w:ascii="宋体" w:hAnsi="宋体" w:eastAsia="宋体" w:cs="宋体"/>
          <w:kern w:val="0"/>
          <w:sz w:val="24"/>
          <w:szCs w:val="24"/>
          <w:highlight w:val="none"/>
        </w:rPr>
      </w:pPr>
      <w:r>
        <w:rPr>
          <w:rFonts w:hint="eastAsia" w:ascii="宋体" w:hAnsi="宋体" w:eastAsia="宋体" w:cs="宋体"/>
          <w:kern w:val="0"/>
          <w:sz w:val="24"/>
          <w:szCs w:val="24"/>
        </w:rPr>
        <w:t>技术要求：见</w:t>
      </w:r>
      <w:r>
        <w:rPr>
          <w:rFonts w:hint="eastAsia" w:ascii="宋体" w:hAnsi="宋体" w:eastAsia="宋体" w:cs="宋体"/>
          <w:kern w:val="0"/>
          <w:sz w:val="24"/>
          <w:szCs w:val="24"/>
          <w:highlight w:val="none"/>
        </w:rPr>
        <w:t>本询价通知书第四章“货物需求一览表及技术规格</w:t>
      </w:r>
    </w:p>
    <w:p>
      <w:pPr>
        <w:spacing w:line="360" w:lineRule="auto"/>
        <w:ind w:left="425" w:hanging="424" w:hangingChars="177"/>
        <w:rPr>
          <w:rFonts w:ascii="宋体" w:hAnsi="宋体" w:eastAsia="宋体" w:cs="Times New Roman"/>
          <w:sz w:val="24"/>
          <w:szCs w:val="24"/>
          <w:highlight w:val="none"/>
        </w:rPr>
      </w:pPr>
      <w:bookmarkStart w:id="6" w:name="_Toc461613084"/>
      <w:bookmarkStart w:id="7" w:name="_Toc461613012"/>
      <w:r>
        <w:rPr>
          <w:rFonts w:ascii="Times New Roman" w:hAnsi="Times New Roman" w:eastAsia="宋体" w:cs="Times New Roman"/>
          <w:sz w:val="24"/>
          <w:szCs w:val="24"/>
          <w:highlight w:val="none"/>
        </w:rPr>
        <w:t>2</w:t>
      </w:r>
      <w:r>
        <w:rPr>
          <w:rFonts w:hint="eastAsia" w:ascii="宋体" w:hAnsi="宋体" w:eastAsia="宋体" w:cs="Times New Roman"/>
          <w:sz w:val="24"/>
          <w:szCs w:val="24"/>
          <w:highlight w:val="none"/>
        </w:rPr>
        <w:t>、有兴趣的合格潜在供应商请于</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27</w:t>
      </w:r>
      <w:r>
        <w:rPr>
          <w:rFonts w:hint="eastAsia" w:ascii="宋体" w:hAnsi="宋体" w:eastAsia="宋体" w:cs="Times New Roman"/>
          <w:sz w:val="24"/>
          <w:szCs w:val="24"/>
          <w:highlight w:val="none"/>
        </w:rPr>
        <w:t>日起至</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09</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30</w:t>
      </w:r>
      <w:r>
        <w:rPr>
          <w:rFonts w:hint="eastAsia" w:ascii="宋体" w:hAnsi="宋体" w:eastAsia="宋体" w:cs="Times New Roman"/>
          <w:sz w:val="24"/>
          <w:szCs w:val="24"/>
          <w:highlight w:val="none"/>
        </w:rPr>
        <w:t>日止（星期六、日和节假日除外）</w:t>
      </w:r>
      <w:r>
        <w:rPr>
          <w:rFonts w:hint="eastAsia" w:ascii="宋体" w:hAnsi="宋体" w:eastAsia="宋体"/>
          <w:sz w:val="24"/>
          <w:szCs w:val="24"/>
          <w:highlight w:val="none"/>
        </w:rPr>
        <w:t>自行前往我院官网（</w:t>
      </w:r>
      <w:r>
        <w:rPr>
          <w:highlight w:val="none"/>
        </w:rPr>
        <w:fldChar w:fldCharType="begin"/>
      </w:r>
      <w:r>
        <w:rPr>
          <w:highlight w:val="none"/>
        </w:rPr>
        <w:instrText xml:space="preserve"> HYPERLINK "https://www.szy.sh.cn/" </w:instrText>
      </w:r>
      <w:r>
        <w:rPr>
          <w:highlight w:val="none"/>
        </w:rPr>
        <w:fldChar w:fldCharType="separate"/>
      </w:r>
      <w:r>
        <w:rPr>
          <w:rStyle w:val="37"/>
          <w:rFonts w:ascii="Times New Roman" w:hAnsi="Times New Roman" w:eastAsia="宋体"/>
          <w:sz w:val="24"/>
          <w:szCs w:val="24"/>
          <w:highlight w:val="none"/>
        </w:rPr>
        <w:t>https</w:t>
      </w:r>
      <w:r>
        <w:rPr>
          <w:rStyle w:val="37"/>
          <w:rFonts w:ascii="宋体" w:hAnsi="宋体" w:eastAsia="宋体"/>
          <w:sz w:val="24"/>
          <w:szCs w:val="24"/>
          <w:highlight w:val="none"/>
        </w:rPr>
        <w:t>://</w:t>
      </w:r>
      <w:r>
        <w:rPr>
          <w:rStyle w:val="37"/>
          <w:rFonts w:ascii="Times New Roman" w:hAnsi="Times New Roman" w:eastAsia="宋体"/>
          <w:sz w:val="24"/>
          <w:szCs w:val="24"/>
          <w:highlight w:val="none"/>
        </w:rPr>
        <w:t>www</w:t>
      </w:r>
      <w:r>
        <w:rPr>
          <w:rStyle w:val="37"/>
          <w:rFonts w:ascii="宋体" w:hAnsi="宋体" w:eastAsia="宋体"/>
          <w:sz w:val="24"/>
          <w:szCs w:val="24"/>
          <w:highlight w:val="none"/>
        </w:rPr>
        <w:t>.</w:t>
      </w:r>
      <w:r>
        <w:rPr>
          <w:rStyle w:val="37"/>
          <w:rFonts w:ascii="Times New Roman" w:hAnsi="Times New Roman" w:eastAsia="宋体"/>
          <w:sz w:val="24"/>
          <w:szCs w:val="24"/>
          <w:highlight w:val="none"/>
        </w:rPr>
        <w:t>szy</w:t>
      </w:r>
      <w:r>
        <w:rPr>
          <w:rStyle w:val="37"/>
          <w:rFonts w:ascii="宋体" w:hAnsi="宋体" w:eastAsia="宋体"/>
          <w:sz w:val="24"/>
          <w:szCs w:val="24"/>
          <w:highlight w:val="none"/>
        </w:rPr>
        <w:t>.</w:t>
      </w:r>
      <w:r>
        <w:rPr>
          <w:rStyle w:val="37"/>
          <w:rFonts w:ascii="Times New Roman" w:hAnsi="Times New Roman" w:eastAsia="宋体"/>
          <w:sz w:val="24"/>
          <w:szCs w:val="24"/>
          <w:highlight w:val="none"/>
        </w:rPr>
        <w:t>sh</w:t>
      </w:r>
      <w:r>
        <w:rPr>
          <w:rStyle w:val="37"/>
          <w:rFonts w:ascii="宋体" w:hAnsi="宋体" w:eastAsia="宋体"/>
          <w:sz w:val="24"/>
          <w:szCs w:val="24"/>
          <w:highlight w:val="none"/>
        </w:rPr>
        <w:t>.</w:t>
      </w:r>
      <w:r>
        <w:rPr>
          <w:rStyle w:val="37"/>
          <w:rFonts w:ascii="Times New Roman" w:hAnsi="Times New Roman" w:eastAsia="宋体"/>
          <w:sz w:val="24"/>
          <w:szCs w:val="24"/>
          <w:highlight w:val="none"/>
        </w:rPr>
        <w:t>cn</w:t>
      </w:r>
      <w:r>
        <w:rPr>
          <w:rStyle w:val="37"/>
          <w:rFonts w:ascii="宋体" w:hAnsi="宋体" w:eastAsia="宋体"/>
          <w:sz w:val="24"/>
          <w:szCs w:val="24"/>
          <w:highlight w:val="none"/>
        </w:rPr>
        <w:t>/</w:t>
      </w:r>
      <w:r>
        <w:rPr>
          <w:rStyle w:val="37"/>
          <w:rFonts w:ascii="宋体" w:hAnsi="宋体" w:eastAsia="宋体"/>
          <w:sz w:val="24"/>
          <w:szCs w:val="24"/>
          <w:highlight w:val="none"/>
        </w:rPr>
        <w:fldChar w:fldCharType="end"/>
      </w:r>
      <w:r>
        <w:rPr>
          <w:rFonts w:hint="eastAsia" w:ascii="宋体" w:hAnsi="宋体" w:eastAsia="宋体"/>
          <w:sz w:val="24"/>
          <w:szCs w:val="24"/>
          <w:highlight w:val="none"/>
        </w:rPr>
        <w:t>）通知栏下载</w:t>
      </w:r>
      <w:r>
        <w:rPr>
          <w:rFonts w:hint="eastAsia" w:ascii="宋体" w:hAnsi="宋体" w:eastAsia="宋体" w:cs="Times New Roman"/>
          <w:sz w:val="24"/>
          <w:szCs w:val="24"/>
          <w:highlight w:val="none"/>
        </w:rPr>
        <w:t>。</w:t>
      </w:r>
    </w:p>
    <w:p>
      <w:pPr>
        <w:spacing w:line="360" w:lineRule="auto"/>
        <w:ind w:left="425" w:hanging="424" w:hangingChars="177"/>
        <w:rPr>
          <w:rFonts w:ascii="Times New Roman" w:hAnsi="Times New Roman" w:eastAsia="宋体" w:cs="宋体"/>
          <w:color w:val="000000" w:themeColor="text1"/>
          <w:kern w:val="0"/>
          <w:sz w:val="24"/>
          <w:szCs w:val="24"/>
          <w:highlight w:val="none"/>
          <w14:textFill>
            <w14:solidFill>
              <w14:schemeClr w14:val="tx1"/>
            </w14:solidFill>
          </w14:textFill>
        </w:rPr>
      </w:pPr>
      <w:r>
        <w:rPr>
          <w:rFonts w:hint="eastAsia" w:ascii="Times New Roman" w:hAnsi="Times New Roman" w:eastAsia="宋体" w:cs="Times New Roman"/>
          <w:sz w:val="24"/>
          <w:szCs w:val="24"/>
          <w:highlight w:val="none"/>
        </w:rPr>
        <w:t>3</w:t>
      </w:r>
      <w:r>
        <w:rPr>
          <w:rFonts w:hint="eastAsia" w:ascii="宋体" w:hAnsi="宋体" w:eastAsia="宋体" w:cs="Times New Roman"/>
          <w:sz w:val="24"/>
          <w:szCs w:val="24"/>
          <w:highlight w:val="none"/>
        </w:rPr>
        <w:t>、报名及截止时间：</w:t>
      </w:r>
      <w:r>
        <w:rPr>
          <w:rFonts w:hint="eastAsia" w:ascii="Times New Roman" w:hAnsi="Times New Roman" w:eastAsia="宋体" w:cs="宋体"/>
          <w:color w:val="000000" w:themeColor="text1"/>
          <w:kern w:val="0"/>
          <w:sz w:val="24"/>
          <w:szCs w:val="24"/>
          <w:highlight w:val="none"/>
          <w14:textFill>
            <w14:solidFill>
              <w14:schemeClr w14:val="tx1"/>
            </w14:solidFill>
          </w14:textFill>
        </w:rPr>
        <w:t>202</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4</w:t>
      </w:r>
      <w:r>
        <w:rPr>
          <w:rFonts w:hint="eastAsia" w:ascii="Times New Roman" w:hAnsi="Times New Roman" w:eastAsia="宋体" w:cs="宋体"/>
          <w:color w:val="000000" w:themeColor="text1"/>
          <w:kern w:val="0"/>
          <w:sz w:val="24"/>
          <w:szCs w:val="24"/>
          <w:highlight w:val="none"/>
          <w14:textFill>
            <w14:solidFill>
              <w14:schemeClr w14:val="tx1"/>
            </w14:solidFill>
          </w14:textFill>
        </w:rPr>
        <w:t>年</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09</w:t>
      </w:r>
      <w:r>
        <w:rPr>
          <w:rFonts w:hint="eastAsia" w:ascii="Times New Roman" w:hAnsi="Times New Roman" w:eastAsia="宋体" w:cs="宋体"/>
          <w:color w:val="000000" w:themeColor="text1"/>
          <w:kern w:val="0"/>
          <w:sz w:val="24"/>
          <w:szCs w:val="24"/>
          <w:highlight w:val="none"/>
          <w14:textFill>
            <w14:solidFill>
              <w14:schemeClr w14:val="tx1"/>
            </w14:solidFill>
          </w14:textFill>
        </w:rPr>
        <w:t>月</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30</w:t>
      </w:r>
      <w:r>
        <w:rPr>
          <w:rFonts w:hint="eastAsia" w:ascii="Times New Roman" w:hAnsi="Times New Roman" w:eastAsia="宋体" w:cs="宋体"/>
          <w:color w:val="000000" w:themeColor="text1"/>
          <w:kern w:val="0"/>
          <w:sz w:val="24"/>
          <w:szCs w:val="24"/>
          <w:highlight w:val="none"/>
          <w14:textFill>
            <w14:solidFill>
              <w14:schemeClr w14:val="tx1"/>
            </w14:solidFill>
          </w14:textFill>
        </w:rPr>
        <w:t>日北京时间1</w:t>
      </w:r>
      <w:r>
        <w:rPr>
          <w:rFonts w:hint="eastAsia" w:ascii="Times New Roman" w:hAnsi="Times New Roman" w:eastAsia="宋体" w:cs="宋体"/>
          <w:color w:val="000000" w:themeColor="text1"/>
          <w:kern w:val="0"/>
          <w:sz w:val="24"/>
          <w:szCs w:val="24"/>
          <w:highlight w:val="none"/>
          <w:lang w:val="en-US" w:eastAsia="zh-CN"/>
          <w14:textFill>
            <w14:solidFill>
              <w14:schemeClr w14:val="tx1"/>
            </w14:solidFill>
          </w14:textFill>
        </w:rPr>
        <w:t>6</w:t>
      </w:r>
      <w:r>
        <w:rPr>
          <w:rFonts w:ascii="宋体" w:hAnsi="宋体" w:eastAsia="宋体" w:cs="Times New Roman"/>
          <w:sz w:val="24"/>
          <w:szCs w:val="24"/>
          <w:highlight w:val="none"/>
        </w:rPr>
        <w:t>:</w:t>
      </w:r>
      <w:r>
        <w:rPr>
          <w:rFonts w:hint="eastAsia" w:ascii="Times New Roman" w:hAnsi="Times New Roman" w:eastAsia="宋体" w:cs="宋体"/>
          <w:color w:val="000000" w:themeColor="text1"/>
          <w:kern w:val="0"/>
          <w:sz w:val="24"/>
          <w:szCs w:val="24"/>
          <w:highlight w:val="none"/>
          <w14:textFill>
            <w14:solidFill>
              <w14:schemeClr w14:val="tx1"/>
            </w14:solidFill>
          </w14:textFill>
        </w:rPr>
        <w:t>00截止。</w:t>
      </w:r>
    </w:p>
    <w:p>
      <w:pPr>
        <w:spacing w:line="360" w:lineRule="auto"/>
        <w:ind w:left="425" w:hanging="424" w:hangingChars="177"/>
        <w:rPr>
          <w:rFonts w:ascii="宋体" w:hAnsi="宋体" w:eastAsia="宋体" w:cs="Times New Roman"/>
          <w:sz w:val="24"/>
          <w:szCs w:val="24"/>
          <w:highlight w:val="none"/>
        </w:rPr>
      </w:pPr>
      <w:r>
        <w:rPr>
          <w:rFonts w:hint="eastAsia" w:ascii="Times New Roman" w:hAnsi="Times New Roman" w:eastAsia="宋体" w:cs="宋体"/>
          <w:color w:val="000000" w:themeColor="text1"/>
          <w:kern w:val="0"/>
          <w:sz w:val="24"/>
          <w:szCs w:val="24"/>
          <w:highlight w:val="none"/>
          <w14:textFill>
            <w14:solidFill>
              <w14:schemeClr w14:val="tx1"/>
            </w14:solidFill>
          </w14:textFill>
        </w:rPr>
        <w:t>4、</w:t>
      </w:r>
      <w:r>
        <w:rPr>
          <w:rFonts w:hint="eastAsia" w:ascii="宋体" w:hAnsi="宋体" w:eastAsia="宋体" w:cs="Times New Roman"/>
          <w:sz w:val="24"/>
          <w:szCs w:val="24"/>
          <w:highlight w:val="none"/>
        </w:rPr>
        <w:t>递交文件截止时间、地点及要求：</w:t>
      </w:r>
    </w:p>
    <w:p>
      <w:pPr>
        <w:spacing w:line="360" w:lineRule="auto"/>
        <w:ind w:left="423" w:leftChars="114" w:hanging="184" w:hangingChars="77"/>
        <w:rPr>
          <w:rFonts w:ascii="宋体" w:hAnsi="宋体" w:eastAsia="宋体" w:cs="Times New Roman"/>
          <w:sz w:val="24"/>
          <w:szCs w:val="24"/>
          <w:highlight w:val="none"/>
        </w:rPr>
      </w:pPr>
      <w:r>
        <w:rPr>
          <w:rFonts w:hint="eastAsia" w:ascii="宋体" w:hAnsi="宋体" w:eastAsia="宋体" w:cs="Times New Roman"/>
          <w:sz w:val="24"/>
          <w:szCs w:val="24"/>
          <w:highlight w:val="none"/>
        </w:rPr>
        <w:t>截止时间：</w:t>
      </w:r>
      <w:r>
        <w:rPr>
          <w:rFonts w:hint="eastAsia" w:ascii="Times New Roman" w:hAnsi="Times New Roman" w:eastAsia="宋体" w:cs="Times New Roman"/>
          <w:sz w:val="24"/>
          <w:szCs w:val="24"/>
          <w:highlight w:val="none"/>
        </w:rPr>
        <w:t>202</w:t>
      </w:r>
      <w:r>
        <w:rPr>
          <w:rFonts w:hint="eastAsia" w:ascii="Times New Roman" w:hAnsi="Times New Roman" w:eastAsia="宋体" w:cs="Times New Roman"/>
          <w:sz w:val="24"/>
          <w:szCs w:val="24"/>
          <w:highlight w:val="none"/>
          <w:lang w:val="en-US" w:eastAsia="zh-CN"/>
        </w:rPr>
        <w:t>4</w:t>
      </w:r>
      <w:r>
        <w:rPr>
          <w:rFonts w:hint="eastAsia" w:ascii="宋体" w:hAnsi="宋体" w:eastAsia="宋体" w:cs="Times New Roman"/>
          <w:sz w:val="24"/>
          <w:szCs w:val="24"/>
          <w:highlight w:val="none"/>
        </w:rPr>
        <w:t>年</w:t>
      </w:r>
      <w:r>
        <w:rPr>
          <w:rFonts w:hint="eastAsia" w:ascii="宋体" w:hAnsi="宋体" w:eastAsia="宋体" w:cs="Times New Roman"/>
          <w:sz w:val="24"/>
          <w:szCs w:val="24"/>
          <w:highlight w:val="none"/>
          <w:lang w:val="en-US" w:eastAsia="zh-CN"/>
        </w:rPr>
        <w:t>10</w:t>
      </w:r>
      <w:r>
        <w:rPr>
          <w:rFonts w:hint="eastAsia" w:ascii="宋体" w:hAnsi="宋体" w:eastAsia="宋体" w:cs="Times New Roman"/>
          <w:sz w:val="24"/>
          <w:szCs w:val="24"/>
          <w:highlight w:val="none"/>
        </w:rPr>
        <w:t>月</w:t>
      </w:r>
      <w:r>
        <w:rPr>
          <w:rFonts w:hint="eastAsia" w:ascii="宋体" w:hAnsi="宋体" w:eastAsia="宋体" w:cs="Times New Roman"/>
          <w:sz w:val="24"/>
          <w:szCs w:val="24"/>
          <w:highlight w:val="none"/>
          <w:lang w:val="en-US" w:eastAsia="zh-CN"/>
        </w:rPr>
        <w:t>11</w:t>
      </w:r>
      <w:r>
        <w:rPr>
          <w:rFonts w:hint="eastAsia" w:ascii="宋体" w:hAnsi="宋体" w:eastAsia="宋体" w:cs="Times New Roman"/>
          <w:sz w:val="24"/>
          <w:szCs w:val="24"/>
          <w:highlight w:val="none"/>
        </w:rPr>
        <w:t>日北京时间</w:t>
      </w:r>
      <w:r>
        <w:rPr>
          <w:rFonts w:hint="eastAsia" w:ascii="Times New Roman" w:hAnsi="Times New Roman" w:eastAsia="宋体" w:cs="Times New Roman"/>
          <w:sz w:val="24"/>
          <w:szCs w:val="24"/>
          <w:highlight w:val="none"/>
        </w:rPr>
        <w:t>10</w:t>
      </w:r>
      <w:r>
        <w:rPr>
          <w:rFonts w:ascii="宋体" w:hAnsi="宋体"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0</w:t>
      </w:r>
      <w:r>
        <w:rPr>
          <w:rFonts w:hint="eastAsia" w:ascii="Times New Roman" w:hAnsi="Times New Roman" w:eastAsia="宋体" w:cs="Times New Roman"/>
          <w:sz w:val="24"/>
          <w:szCs w:val="24"/>
          <w:highlight w:val="none"/>
        </w:rPr>
        <w:t>0</w:t>
      </w:r>
    </w:p>
    <w:p>
      <w:pPr>
        <w:spacing w:line="360" w:lineRule="auto"/>
        <w:ind w:left="423" w:leftChars="114" w:hanging="184" w:hangingChars="77"/>
        <w:rPr>
          <w:rFonts w:ascii="宋体" w:hAnsi="宋体" w:eastAsia="宋体" w:cs="Times New Roman"/>
          <w:sz w:val="24"/>
          <w:szCs w:val="24"/>
        </w:rPr>
      </w:pPr>
      <w:r>
        <w:rPr>
          <w:rFonts w:hint="eastAsia" w:ascii="宋体" w:hAnsi="宋体" w:eastAsia="宋体" w:cs="Times New Roman"/>
          <w:sz w:val="24"/>
          <w:szCs w:val="24"/>
        </w:rPr>
        <w:t>地点：中国上海市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4"/>
        </w:rPr>
        <w:t>号上海市中医医院采购处</w:t>
      </w:r>
    </w:p>
    <w:bookmarkEnd w:id="6"/>
    <w:bookmarkEnd w:id="7"/>
    <w:p>
      <w:pPr>
        <w:autoSpaceDE w:val="0"/>
        <w:autoSpaceDN w:val="0"/>
        <w:spacing w:line="360" w:lineRule="auto"/>
        <w:rPr>
          <w:rFonts w:ascii="宋体" w:hAnsi="宋体" w:eastAsia="宋体" w:cs="宋体"/>
          <w:kern w:val="0"/>
          <w:sz w:val="24"/>
          <w:szCs w:val="24"/>
        </w:rPr>
      </w:pPr>
      <w:r>
        <w:rPr>
          <w:rFonts w:hint="eastAsia" w:ascii="宋体" w:hAnsi="宋体" w:eastAsia="宋体" w:cs="宋体"/>
          <w:kern w:val="0"/>
          <w:sz w:val="24"/>
          <w:szCs w:val="24"/>
        </w:rPr>
        <w:t>5.采购人信息</w:t>
      </w:r>
    </w:p>
    <w:bookmarkEnd w:id="2"/>
    <w:bookmarkEnd w:id="3"/>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买方地址：中国上海</w:t>
      </w:r>
      <w:r>
        <w:rPr>
          <w:rFonts w:hint="eastAsia" w:ascii="宋体" w:hAnsi="宋体" w:eastAsia="宋体" w:cs="Times New Roman"/>
          <w:sz w:val="24"/>
          <w:szCs w:val="24"/>
          <w:lang w:val="en-US" w:eastAsia="zh-CN"/>
        </w:rPr>
        <w:t>嘉定区</w:t>
      </w:r>
      <w:r>
        <w:rPr>
          <w:rFonts w:hint="eastAsia" w:ascii="宋体" w:hAnsi="宋体" w:eastAsia="宋体" w:cs="Times New Roman"/>
          <w:sz w:val="24"/>
          <w:szCs w:val="20"/>
          <w:lang w:val="en-US" w:eastAsia="zh-CN"/>
        </w:rPr>
        <w:t>荣联路68</w:t>
      </w:r>
      <w:r>
        <w:rPr>
          <w:rFonts w:hint="eastAsia" w:ascii="宋体" w:hAnsi="宋体" w:eastAsia="宋体" w:cs="Times New Roman"/>
          <w:sz w:val="24"/>
          <w:szCs w:val="20"/>
        </w:rPr>
        <w:t>号</w:t>
      </w:r>
    </w:p>
    <w:p>
      <w:pPr>
        <w:spacing w:line="360" w:lineRule="auto"/>
        <w:jc w:val="left"/>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ascii="宋体" w:hAnsi="宋体" w:eastAsia="宋体" w:cs="Times New Roman"/>
          <w:sz w:val="24"/>
          <w:szCs w:val="20"/>
        </w:rPr>
        <w:t>20</w:t>
      </w:r>
      <w:r>
        <w:rPr>
          <w:rFonts w:hint="eastAsia" w:ascii="宋体" w:hAnsi="宋体" w:eastAsia="宋体" w:cs="Times New Roman"/>
          <w:sz w:val="24"/>
          <w:szCs w:val="20"/>
          <w:lang w:val="en-US" w:eastAsia="zh-CN"/>
        </w:rPr>
        <w:t>1822</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autoSpaceDE w:val="0"/>
        <w:autoSpaceDN w:val="0"/>
        <w:spacing w:line="360" w:lineRule="auto"/>
        <w:jc w:val="left"/>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lang w:val="en-US" w:eastAsia="zh-CN"/>
        </w:rPr>
        <w:t>孙全</w:t>
      </w:r>
    </w:p>
    <w:p>
      <w:pPr>
        <w:spacing w:line="360" w:lineRule="auto"/>
        <w:rPr>
          <w:rFonts w:ascii="宋体" w:hAnsi="宋体" w:eastAsia="宋体" w:cs="Times New Roman"/>
          <w:sz w:val="24"/>
          <w:szCs w:val="24"/>
        </w:rPr>
        <w:sectPr>
          <w:headerReference r:id="rId10" w:type="first"/>
          <w:headerReference r:id="rId8" w:type="default"/>
          <w:footerReference r:id="rId11" w:type="default"/>
          <w:headerReference r:id="rId9" w:type="even"/>
          <w:pgSz w:w="11906" w:h="16838"/>
          <w:pgMar w:top="1418" w:right="1134" w:bottom="1134" w:left="1134" w:header="567" w:footer="567" w:gutter="0"/>
          <w:cols w:space="425" w:num="1"/>
          <w:docGrid w:type="linesAndChars" w:linePitch="312" w:charSpace="0"/>
        </w:sectPr>
      </w:pPr>
    </w:p>
    <w:p>
      <w:pPr>
        <w:keepNext/>
        <w:keepLines/>
        <w:autoSpaceDE w:val="0"/>
        <w:autoSpaceDN w:val="0"/>
        <w:spacing w:before="260" w:after="260" w:line="360" w:lineRule="auto"/>
        <w:jc w:val="center"/>
        <w:outlineLvl w:val="2"/>
        <w:rPr>
          <w:rFonts w:ascii="宋体" w:hAnsi="宋体" w:eastAsia="宋体" w:cs="Times New Roman"/>
          <w:b/>
          <w:sz w:val="36"/>
          <w:szCs w:val="20"/>
        </w:rPr>
      </w:pPr>
      <w:bookmarkStart w:id="8" w:name="_Toc11326093"/>
      <w:bookmarkStart w:id="9" w:name="_Toc9066359"/>
      <w:bookmarkStart w:id="10" w:name="_Toc516880880"/>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投标资料表</w:t>
      </w:r>
      <w:bookmarkEnd w:id="8"/>
      <w:bookmarkEnd w:id="9"/>
      <w:bookmarkEnd w:id="10"/>
    </w:p>
    <w:tbl>
      <w:tblPr>
        <w:tblStyle w:val="31"/>
        <w:tblW w:w="9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8"/>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条款号</w:t>
            </w:r>
          </w:p>
        </w:tc>
        <w:tc>
          <w:tcPr>
            <w:tcW w:w="8366"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highlight w:val="none"/>
              </w:rPr>
            </w:pPr>
            <w:r>
              <w:rPr>
                <w:rFonts w:hint="eastAsia" w:ascii="宋体" w:hAnsi="宋体" w:eastAsia="宋体" w:cs="Times New Roman"/>
                <w:b/>
                <w:sz w:val="24"/>
                <w:szCs w:val="20"/>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招标人名称：上海市中医医院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2</w:t>
            </w:r>
          </w:p>
        </w:tc>
        <w:tc>
          <w:tcPr>
            <w:tcW w:w="8366" w:type="dxa"/>
            <w:vAlign w:val="center"/>
          </w:tcPr>
          <w:p>
            <w:pPr>
              <w:autoSpaceDE w:val="0"/>
              <w:autoSpaceDN w:val="0"/>
              <w:spacing w:line="360" w:lineRule="auto"/>
              <w:rPr>
                <w:rFonts w:hint="default" w:ascii="宋体" w:hAnsi="宋体" w:eastAsia="宋体" w:cs="宋体"/>
                <w:kern w:val="0"/>
                <w:sz w:val="24"/>
                <w:szCs w:val="24"/>
                <w:highlight w:val="none"/>
                <w:lang w:val="en-US"/>
              </w:rPr>
            </w:pPr>
            <w:r>
              <w:rPr>
                <w:rFonts w:hint="eastAsia" w:ascii="宋体" w:hAnsi="宋体" w:eastAsia="宋体" w:cs="Times New Roman"/>
                <w:sz w:val="24"/>
                <w:szCs w:val="20"/>
                <w:highlight w:val="none"/>
              </w:rPr>
              <w:t>项目名称：</w:t>
            </w:r>
            <w:r>
              <w:rPr>
                <w:rFonts w:hint="eastAsia" w:ascii="宋体" w:hAnsi="宋体" w:eastAsia="宋体" w:cs="宋体"/>
                <w:kern w:val="0"/>
                <w:sz w:val="24"/>
                <w:szCs w:val="24"/>
                <w:highlight w:val="none"/>
                <w:lang w:val="en-US" w:eastAsia="zh-CN"/>
              </w:rPr>
              <w:t>血栓弹力图试验试剂盒等试剂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1.3</w:t>
            </w:r>
          </w:p>
        </w:tc>
        <w:tc>
          <w:tcPr>
            <w:tcW w:w="8366" w:type="dxa"/>
            <w:vAlign w:val="center"/>
          </w:tcPr>
          <w:p>
            <w:pPr>
              <w:kinsoku w:val="0"/>
              <w:autoSpaceDE w:val="0"/>
              <w:autoSpaceDN w:val="0"/>
              <w:spacing w:line="360" w:lineRule="auto"/>
              <w:ind w:right="57"/>
              <w:textAlignment w:val="bottom"/>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合同名称：</w:t>
            </w:r>
            <w:r>
              <w:rPr>
                <w:rFonts w:hint="eastAsia" w:ascii="宋体" w:hAnsi="宋体" w:eastAsia="宋体" w:cs="宋体"/>
                <w:kern w:val="0"/>
                <w:sz w:val="24"/>
                <w:szCs w:val="24"/>
                <w:highlight w:val="none"/>
                <w:lang w:val="en-US" w:eastAsia="zh-CN"/>
              </w:rPr>
              <w:t>血栓弹力图试验试剂盒等试剂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1.</w:t>
            </w:r>
            <w:r>
              <w:rPr>
                <w:rFonts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资金性质：</w:t>
            </w:r>
            <w:r>
              <w:rPr>
                <w:rFonts w:hint="eastAsia" w:ascii="宋体" w:hAnsi="宋体" w:eastAsia="宋体" w:cs="Times New Roman"/>
                <w:sz w:val="24"/>
                <w:szCs w:val="20"/>
                <w:highlight w:val="none"/>
                <w:lang w:val="en-US" w:eastAsia="zh-CN"/>
              </w:rPr>
              <w:t>自筹</w:t>
            </w:r>
            <w:r>
              <w:rPr>
                <w:rFonts w:hint="eastAsia" w:ascii="宋体" w:hAnsi="宋体" w:eastAsia="宋体" w:cs="Times New Roman"/>
                <w:sz w:val="24"/>
                <w:szCs w:val="20"/>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2</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投标人未在规定的时间内报名，不得参加投标。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sz w:val="24"/>
                <w:szCs w:val="24"/>
                <w:highlight w:val="none"/>
              </w:rPr>
              <w:t>潜在供应商或者其他利害关系人对采购文件有异议的，应当在询价响应文件递交截止时间2日前提出。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投标文件的编制和递交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投标人应提供下列文件，并按顺序装订成册，编制投标文件目录：</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投标人应按照招标文件中提供的格式完整、正确填写投标书。</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2.开标一览表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（1）开标一览表应填写项目总价。</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（2）投标人应按照招标文件中提供的格式完整、正确填写开标一览表。开标一览表中的投标总价应与投标分项报价表中总价完全一致，否则将可能否决其投标。</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3.投标分项报价表</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4.货物说明一览表</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5.响应/偏离表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投标人应按《招标文件》要求填写技术规格响应/偏离表、商务条款响应/偏离表。</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6.投标人资格证明文件</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投标人资质证明文件具体内容见规定。</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7</w:t>
            </w:r>
            <w:r>
              <w:rPr>
                <w:rFonts w:hint="eastAsia" w:ascii="宋体" w:hAnsi="宋体" w:eastAsia="宋体" w:cs="Times New Roman"/>
                <w:sz w:val="24"/>
                <w:szCs w:val="20"/>
                <w:highlight w:val="none"/>
              </w:rPr>
              <w:t>.投标设备生产厂家的该产品最新原版正式技术参数资料（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）及产品货号、制造商公开发布的彩色印刷产品样本等技术资料</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8</w:t>
            </w:r>
            <w:r>
              <w:rPr>
                <w:rFonts w:hint="eastAsia" w:ascii="宋体" w:hAnsi="宋体" w:eastAsia="宋体" w:cs="Times New Roman"/>
                <w:sz w:val="24"/>
                <w:szCs w:val="20"/>
                <w:highlight w:val="none"/>
              </w:rPr>
              <w:t>.投标设备相关的技术服务、安装调试及保修服务的售后服务承诺书。</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lang w:val="en-US" w:eastAsia="zh-CN"/>
              </w:rPr>
              <w:t>9</w:t>
            </w:r>
            <w:r>
              <w:rPr>
                <w:rFonts w:hint="eastAsia" w:ascii="宋体" w:hAnsi="宋体" w:eastAsia="宋体" w:cs="Times New Roman"/>
                <w:sz w:val="24"/>
                <w:szCs w:val="20"/>
                <w:highlight w:val="none"/>
              </w:rPr>
              <w:t>.其他资料（投标人认为有必要提交的其他资料）</w:t>
            </w:r>
            <w:r>
              <w:rPr>
                <w:rFonts w:hint="eastAsia" w:ascii="宋体" w:hAnsi="宋体" w:eastAsia="宋体" w:cs="Times New Roman"/>
                <w:sz w:val="24"/>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lang w:val="en-US" w:eastAsia="zh-CN"/>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ascii="宋体" w:hAnsi="宋体" w:eastAsia="宋体" w:cs="Times New Roman"/>
                <w:sz w:val="24"/>
                <w:szCs w:val="20"/>
                <w:highlight w:val="none"/>
              </w:rPr>
              <w:t>投标人</w:t>
            </w:r>
            <w:r>
              <w:rPr>
                <w:rFonts w:hint="eastAsia" w:ascii="宋体" w:hAnsi="宋体" w:eastAsia="宋体" w:cs="Times New Roman"/>
                <w:sz w:val="24"/>
                <w:szCs w:val="20"/>
                <w:highlight w:val="none"/>
              </w:rPr>
              <w:t>应严格按照招标文件规定的格式和内容编制投标文件，</w:t>
            </w:r>
            <w:r>
              <w:rPr>
                <w:rFonts w:ascii="宋体" w:hAnsi="宋体" w:eastAsia="宋体" w:cs="Times New Roman"/>
                <w:sz w:val="24"/>
                <w:szCs w:val="20"/>
                <w:highlight w:val="none"/>
              </w:rPr>
              <w:t>要求对本招标文件</w:t>
            </w:r>
            <w:r>
              <w:rPr>
                <w:rFonts w:hint="eastAsia" w:ascii="宋体" w:hAnsi="宋体" w:eastAsia="宋体" w:cs="Times New Roman"/>
                <w:sz w:val="24"/>
                <w:szCs w:val="20"/>
                <w:highlight w:val="none"/>
                <w:lang w:val="en-US" w:eastAsia="zh-CN"/>
              </w:rPr>
              <w:t>4.1</w:t>
            </w:r>
            <w:r>
              <w:rPr>
                <w:rFonts w:ascii="宋体" w:hAnsi="宋体" w:eastAsia="宋体" w:cs="Times New Roman"/>
                <w:sz w:val="24"/>
                <w:szCs w:val="20"/>
                <w:highlight w:val="none"/>
              </w:rPr>
              <w:t>所提出各项要求进行逐条逐项答复、说明和解释，</w:t>
            </w:r>
            <w:r>
              <w:rPr>
                <w:rFonts w:hint="eastAsia" w:ascii="宋体" w:hAnsi="宋体" w:eastAsia="宋体" w:cs="Times New Roman"/>
                <w:sz w:val="24"/>
                <w:szCs w:val="20"/>
                <w:highlight w:val="none"/>
              </w:rPr>
              <w:t>并填写在</w:t>
            </w:r>
            <w:r>
              <w:rPr>
                <w:rFonts w:ascii="宋体" w:hAnsi="宋体" w:eastAsia="宋体" w:cs="Times New Roman"/>
                <w:sz w:val="24"/>
                <w:szCs w:val="20"/>
                <w:highlight w:val="none"/>
              </w:rPr>
              <w:t>技术</w:t>
            </w:r>
            <w:r>
              <w:rPr>
                <w:rFonts w:hint="eastAsia" w:ascii="宋体" w:hAnsi="宋体" w:eastAsia="宋体" w:cs="Times New Roman"/>
                <w:sz w:val="24"/>
                <w:szCs w:val="20"/>
                <w:highlight w:val="none"/>
              </w:rPr>
              <w:t>规格响应/</w:t>
            </w:r>
            <w:r>
              <w:rPr>
                <w:rFonts w:ascii="宋体" w:hAnsi="宋体" w:eastAsia="宋体" w:cs="Times New Roman"/>
                <w:sz w:val="24"/>
                <w:szCs w:val="20"/>
                <w:highlight w:val="none"/>
              </w:rPr>
              <w:t>偏离表</w:t>
            </w:r>
            <w:r>
              <w:rPr>
                <w:rFonts w:hint="eastAsia" w:ascii="宋体" w:hAnsi="宋体" w:eastAsia="宋体" w:cs="Times New Roman"/>
                <w:sz w:val="24"/>
                <w:szCs w:val="20"/>
                <w:highlight w:val="none"/>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（1）投标总价中不得缺漏招标文件要求分项报价的内容，投标人投标报价缺漏项达到或超过15%（无论数量或金额），其投标将被否决。</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投标人投标报价缺漏项未达到或超过15%（无论数量或金额），且投标人确认缺漏项已包含在投标总价中，评标时将其他有效投标中该项的最高价计入其评标总价；若投标人确认缺漏项不包含在投标总价中，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.3</w:t>
            </w:r>
          </w:p>
        </w:tc>
        <w:tc>
          <w:tcPr>
            <w:tcW w:w="8366" w:type="dxa"/>
            <w:vAlign w:val="center"/>
          </w:tcPr>
          <w:p>
            <w:pPr>
              <w:autoSpaceDE w:val="0"/>
              <w:autoSpaceDN w:val="0"/>
              <w:spacing w:line="360" w:lineRule="auto"/>
              <w:ind w:left="105" w:right="57" w:hanging="4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投标人应根据第</w:t>
            </w:r>
            <w:r>
              <w:rPr>
                <w:rFonts w:hint="eastAsia" w:ascii="宋体" w:hAnsi="宋体" w:eastAsia="宋体" w:cs="Times New Roman"/>
                <w:sz w:val="24"/>
                <w:szCs w:val="20"/>
                <w:highlight w:val="none"/>
                <w:lang w:val="en-US" w:eastAsia="zh-CN"/>
              </w:rPr>
              <w:t>四</w:t>
            </w:r>
            <w:r>
              <w:rPr>
                <w:rFonts w:hint="eastAsia" w:ascii="宋体" w:hAnsi="宋体" w:eastAsia="宋体" w:cs="Times New Roman"/>
                <w:sz w:val="24"/>
                <w:szCs w:val="20"/>
                <w:highlight w:val="none"/>
              </w:rPr>
              <w:t>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中所列设备及要求报价，投标总价中不得包含超出招标文件要求以外的内容，否则在评标时不予核减。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.4</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本次招标不接受选择性报价或者有附加条件的报价。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5</w:t>
            </w:r>
            <w:r>
              <w:rPr>
                <w:rFonts w:hint="eastAsia" w:ascii="宋体" w:hAnsi="宋体" w:eastAsia="宋体" w:cs="Times New Roman"/>
                <w:sz w:val="24"/>
                <w:szCs w:val="20"/>
                <w:highlight w:val="none"/>
              </w:rPr>
              <w:t>.5</w:t>
            </w:r>
          </w:p>
        </w:tc>
        <w:tc>
          <w:tcPr>
            <w:tcW w:w="8366" w:type="dxa"/>
            <w:vAlign w:val="center"/>
          </w:tcPr>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本项目不设最高投标限价。本限价包含关税、增值税及进口环节中发生的一切费用。若投标报价高于最高投标限价，其投标将被否决。若因汇率波动或属于原产于特定国家（地区）特定进口商品加征关税且加征关税在实际进口时未被核准市场化采购排除的造成合同实际结算时超出本项目的人民币限价时，招标人不承担超出投标限价的部分，该部分费用由中标人承担。</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（1）若投标产品以外币报价且为中华人民共和国关境外交付的货物，按开标当日中国银行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，并加上进口环节税及进口环节中发生的一切费用进行合计，评标时以此判定是否超过投标限价。</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4"/>
                <w:highlight w:val="none"/>
              </w:rPr>
              <w:t>（2）若投标产品以外币报价且为中华人民共和国关境内交付的货物，按开标当日中国银行</w:t>
            </w:r>
            <w:r>
              <w:rPr>
                <w:rFonts w:ascii="宋体" w:hAnsi="宋体" w:eastAsia="宋体" w:cs="Times New Roman"/>
                <w:sz w:val="24"/>
                <w:szCs w:val="24"/>
                <w:highlight w:val="none"/>
              </w:rPr>
              <w:t>总行首次发布的外币对人民币的现汇卖出价进行投标货币的转换</w:t>
            </w:r>
            <w:r>
              <w:rPr>
                <w:rFonts w:hint="eastAsia" w:ascii="宋体" w:hAnsi="宋体" w:eastAsia="宋体" w:cs="Times New Roman"/>
                <w:sz w:val="24"/>
                <w:szCs w:val="24"/>
                <w:highlight w:val="none"/>
              </w:rPr>
              <w:t>，评标时以此判定是否超过投标限价。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5</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6</w:t>
            </w:r>
          </w:p>
        </w:tc>
        <w:tc>
          <w:tcPr>
            <w:tcW w:w="8366" w:type="dxa"/>
            <w:vAlign w:val="center"/>
          </w:tcPr>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从中华人民共和国关境内提供的货物，其投标报价包括：</w:t>
            </w:r>
          </w:p>
          <w:p>
            <w:pPr>
              <w:autoSpaceDE w:val="0"/>
              <w:autoSpaceDN w:val="0"/>
              <w:spacing w:line="360" w:lineRule="auto"/>
              <w:ind w:left="525" w:right="57" w:hanging="468"/>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1）关境内制造的货物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（1）EXW（出厂价）（应包括增值税和其它税费）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（4）按照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p>
            <w:pPr>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2）投标截止时间前已经进口的货物</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w:t>
            </w:r>
            <w:r>
              <w:rPr>
                <w:rFonts w:hint="eastAsia" w:ascii="宋体" w:hAnsi="宋体" w:eastAsia="宋体" w:cs="Times New Roman"/>
                <w:sz w:val="24"/>
                <w:szCs w:val="20"/>
                <w:highlight w:val="none"/>
              </w:rPr>
              <w:t>仓库交货价（应包括增值税、关税和其他税费）</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（2）</w:t>
            </w:r>
            <w:r>
              <w:rPr>
                <w:rFonts w:hint="eastAsia" w:ascii="宋体" w:hAnsi="宋体" w:eastAsia="宋体" w:cs="Times New Roman"/>
                <w:sz w:val="24"/>
                <w:szCs w:val="20"/>
                <w:highlight w:val="none"/>
              </w:rPr>
              <w:t>运至最终目的地的关境内运输费、保险费等相关费用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（3）各种售前、安装调试、验收以及移交等合同履行期间的伴随服务费用</w:t>
            </w:r>
            <w:r>
              <w:rPr>
                <w:rFonts w:hint="eastAsia" w:ascii="宋体" w:hAnsi="宋体" w:eastAsia="宋体" w:cs="Times New Roman"/>
                <w:sz w:val="24"/>
                <w:szCs w:val="20"/>
                <w:highlight w:val="none"/>
                <w:lang w:eastAsia="zh-CN"/>
              </w:rPr>
              <w:t>。</w:t>
            </w:r>
          </w:p>
          <w:p>
            <w:pPr>
              <w:autoSpaceDE w:val="0"/>
              <w:autoSpaceDN w:val="0"/>
              <w:spacing w:line="360" w:lineRule="auto"/>
              <w:ind w:right="57"/>
              <w:textAlignment w:val="bottom"/>
              <w:rPr>
                <w:rFonts w:ascii="宋体" w:hAnsi="宋体" w:eastAsia="宋体" w:cs="Times New Roman"/>
                <w:sz w:val="24"/>
                <w:szCs w:val="20"/>
                <w:highlight w:val="none"/>
              </w:rPr>
            </w:pPr>
            <w:r>
              <w:rPr>
                <w:rFonts w:ascii="宋体" w:hAnsi="宋体" w:eastAsia="宋体" w:cs="Times New Roman"/>
                <w:sz w:val="24"/>
                <w:szCs w:val="20"/>
                <w:highlight w:val="none"/>
              </w:rPr>
              <w:t>（4）</w:t>
            </w:r>
            <w:r>
              <w:rPr>
                <w:rFonts w:hint="eastAsia" w:ascii="宋体" w:hAnsi="宋体" w:eastAsia="宋体" w:cs="Times New Roman"/>
                <w:sz w:val="24"/>
                <w:szCs w:val="20"/>
                <w:highlight w:val="none"/>
              </w:rPr>
              <w:t>按照</w:t>
            </w:r>
            <w:r>
              <w:rPr>
                <w:rFonts w:hint="eastAsia" w:ascii="宋体" w:hAnsi="宋体" w:eastAsia="宋体" w:cs="Times New Roman"/>
                <w:sz w:val="24"/>
                <w:szCs w:val="20"/>
                <w:highlight w:val="none"/>
                <w:lang w:eastAsia="zh-CN"/>
              </w:rPr>
              <w:t>第四章</w:t>
            </w:r>
            <w:r>
              <w:rPr>
                <w:rFonts w:hint="eastAsia" w:ascii="宋体" w:hAnsi="宋体" w:eastAsia="宋体" w:cs="Times New Roman"/>
                <w:sz w:val="24"/>
                <w:szCs w:val="20"/>
                <w:highlight w:val="none"/>
              </w:rPr>
              <w:t>相应条款中列出的各类培训费用。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内提供的货物和服务的投标货币：人民币。若以美元或其他货币报价，则视作该价格已包含关税、增值税等进口环节税和其他相关税费，在价格评议和签订合同时均按开标日中国银行总行首次发布的外币对人民币的现汇卖出价进行货币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6</w:t>
            </w:r>
            <w:r>
              <w:rPr>
                <w:rFonts w:hint="eastAsia"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从中华人民共和国关境外提供的货物和服务的投标货币：美元。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.1</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2</w:t>
            </w:r>
          </w:p>
        </w:tc>
        <w:tc>
          <w:tcPr>
            <w:tcW w:w="8366" w:type="dxa"/>
            <w:vAlign w:val="center"/>
          </w:tcPr>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资格标准：</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（1）投标人具有</w:t>
            </w:r>
            <w:r>
              <w:rPr>
                <w:rFonts w:ascii="宋体" w:hAnsi="宋体" w:eastAsia="宋体" w:cs="Times New Roman"/>
                <w:sz w:val="24"/>
                <w:szCs w:val="20"/>
                <w:highlight w:val="none"/>
              </w:rPr>
              <w:t>合法经营资质的独立法人</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其他组织</w:t>
            </w:r>
            <w:r>
              <w:rPr>
                <w:rFonts w:hint="eastAsia" w:ascii="宋体" w:hAnsi="宋体" w:eastAsia="宋体" w:cs="Times New Roman"/>
                <w:sz w:val="24"/>
                <w:szCs w:val="20"/>
                <w:highlight w:val="none"/>
              </w:rPr>
              <w:t>，并具备相应的经营、业务范围</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（2）投标人未被“信用中国”网站（www.creditchina.gov.cn）、中国政府采购网（www.ccgp.gov.cn</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列入失信执行人、重大税收违法案件当事人名单、政府采购严重违法失信行为记录名单</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（3）投标人参加政府采购活动前三年内，在经营活动中没有重大违法记录</w:t>
            </w:r>
            <w:r>
              <w:rPr>
                <w:rFonts w:hint="eastAsia" w:ascii="宋体" w:hAnsi="宋体" w:eastAsia="宋体" w:cs="Times New Roman"/>
                <w:sz w:val="24"/>
                <w:szCs w:val="20"/>
                <w:highlight w:val="none"/>
                <w:lang w:eastAsia="zh-CN"/>
              </w:rPr>
              <w:t>。</w:t>
            </w:r>
            <w:r>
              <w:rPr>
                <w:rFonts w:ascii="宋体" w:hAnsi="宋体" w:eastAsia="宋体" w:cs="Times New Roman"/>
                <w:sz w:val="24"/>
                <w:szCs w:val="20"/>
                <w:highlight w:val="none"/>
              </w:rPr>
              <w:t xml:space="preserve"> </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（4）投标人是专业生产本次所需设备的制造商，或由制造商指定代理商作为本次投标的授权代理</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（5）投标人必须具有相应设备的《医疗器械生产企业许可证》或《医疗器械经营企业许可证》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（6）投标产品需具备中华人民共和国国家食品药品和国家食品药品监督管理局颁发的开标之日在有效期内的《医疗器械产品注册证》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（7）投标人提供的投标机型应是原产地的全新产品</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（8）投标人提供的投标机型应在中国国内有装机用户</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57" w:right="57"/>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（9）投标人代表可以是法定代表人或被授权委托人。</w:t>
            </w:r>
          </w:p>
          <w:p>
            <w:pPr>
              <w:kinsoku w:val="0"/>
              <w:autoSpaceDE w:val="0"/>
              <w:autoSpaceDN w:val="0"/>
              <w:spacing w:line="360" w:lineRule="auto"/>
              <w:ind w:right="57" w:firstLine="480" w:firstLineChars="200"/>
              <w:textAlignment w:val="bottom"/>
              <w:rPr>
                <w:rFonts w:hint="eastAsia" w:ascii="宋体" w:hAnsi="宋体" w:eastAsia="宋体" w:cs="Times New Roman"/>
                <w:sz w:val="24"/>
                <w:szCs w:val="20"/>
                <w:highlight w:val="none"/>
              </w:rPr>
            </w:pPr>
            <w:r>
              <w:rPr>
                <w:rFonts w:hint="eastAsia" w:ascii="宋体" w:hAnsi="宋体" w:eastAsia="宋体" w:cs="Times New Roman"/>
                <w:sz w:val="24"/>
                <w:szCs w:val="20"/>
                <w:highlight w:val="none"/>
              </w:rPr>
              <w:t>投标人代表是法人代表的，提供《法定代表人（单位负责人）身份的证明》、身份证复印件。</w:t>
            </w:r>
          </w:p>
          <w:p>
            <w:pPr>
              <w:kinsoku w:val="0"/>
              <w:autoSpaceDE w:val="0"/>
              <w:autoSpaceDN w:val="0"/>
              <w:spacing w:line="360" w:lineRule="auto"/>
              <w:ind w:right="57" w:firstLine="480" w:firstLineChars="200"/>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投标人代表不是法人代表的，提供《法定代表人（单位负责人）身份的证明》、《法定代表人（单位负责人）授权委托书》、身份证复印件、投标单位为其缴纳社保的证明。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7</w:t>
            </w:r>
            <w:r>
              <w:rPr>
                <w:rFonts w:hint="eastAsia" w:ascii="宋体" w:hAnsi="宋体" w:eastAsia="宋体" w:cs="Times New Roman"/>
                <w:sz w:val="24"/>
                <w:szCs w:val="20"/>
                <w:highlight w:val="none"/>
              </w:rPr>
              <w:t>.3</w:t>
            </w:r>
          </w:p>
        </w:tc>
        <w:tc>
          <w:tcPr>
            <w:tcW w:w="8366" w:type="dxa"/>
            <w:vAlign w:val="center"/>
          </w:tcPr>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投标人必须提交的资格证明文件应包括：</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（1）投标人在注册地的相关注册法律文件。若投标人在中华人民共和国境内注册的，则必须提供营业执照</w:t>
            </w:r>
            <w:r>
              <w:rPr>
                <w:rFonts w:hint="eastAsia" w:ascii="宋体" w:hAnsi="宋体" w:eastAsia="宋体" w:cs="宋体"/>
                <w:kern w:val="0"/>
                <w:sz w:val="24"/>
                <w:szCs w:val="24"/>
                <w:highlight w:val="none"/>
              </w:rPr>
              <w:t>（或事业单位、社会团体相关证书）</w:t>
            </w:r>
            <w:r>
              <w:rPr>
                <w:rFonts w:hint="eastAsia" w:ascii="宋体" w:hAnsi="宋体" w:eastAsia="宋体" w:cs="Times New Roman"/>
                <w:sz w:val="24"/>
                <w:szCs w:val="20"/>
                <w:highlight w:val="none"/>
              </w:rPr>
              <w:t>的复印件</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如果投标人是投标货物制造厂家，应按照国家有关规定提供食品药品监督管理部门颁发的《中华人民共和国医疗器械生产企业许可证》或《第一类医疗器械生产备案凭证》；如果投标人是经营销售企业，应按照国家有关规定提供食品药品监督管理部门颁发的《中华人民共和国医疗器械经营企业许可证》或《第二类医疗器械经营备案凭证》。投标人的生产或经营范围应当与国家相关许可保持一致</w:t>
            </w:r>
            <w:r>
              <w:rPr>
                <w:rFonts w:hint="eastAsia" w:ascii="宋体" w:hAnsi="宋体" w:eastAsia="宋体" w:cs="Times New Roman"/>
                <w:sz w:val="24"/>
                <w:szCs w:val="20"/>
                <w:highlight w:val="none"/>
                <w:lang w:eastAsia="zh-CN"/>
              </w:rPr>
              <w:t>。。</w:t>
            </w:r>
          </w:p>
          <w:p>
            <w:pPr>
              <w:spacing w:line="360" w:lineRule="auto"/>
              <w:jc w:val="left"/>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（4）由投标设备生产厂家提供的投标机型的最新原版正式技术参数资料（</w:t>
            </w:r>
            <w:r>
              <w:rPr>
                <w:rFonts w:ascii="宋体" w:hAnsi="宋体" w:eastAsia="宋体" w:cs="Times New Roman"/>
                <w:sz w:val="24"/>
                <w:szCs w:val="20"/>
                <w:highlight w:val="none"/>
              </w:rPr>
              <w:t>Product Data Sheet</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ascii="宋体" w:hAnsi="宋体" w:eastAsia="宋体" w:cs="Times New Roman"/>
                <w:strike/>
                <w:color w:val="00B0F0"/>
                <w:sz w:val="24"/>
                <w:szCs w:val="20"/>
                <w:highlight w:val="none"/>
              </w:rPr>
            </w:pPr>
            <w:r>
              <w:rPr>
                <w:rFonts w:hint="eastAsia" w:ascii="宋体" w:hAnsi="宋体" w:eastAsia="宋体" w:cs="Times New Roman"/>
                <w:sz w:val="24"/>
                <w:szCs w:val="20"/>
                <w:highlight w:val="none"/>
              </w:rPr>
              <w:t>（5）投标人应是专业生产本次所需主系统设备的制造商或制造商唯一授权的参与本次投标的代理商，且应得到制造商针对本次投标项目的制造商授权书，授权书的有效期应至少与投标有效期一致</w:t>
            </w:r>
            <w:r>
              <w:rPr>
                <w:rFonts w:hint="eastAsia" w:ascii="宋体" w:hAnsi="宋体" w:eastAsia="宋体" w:cs="Times New Roman"/>
                <w:sz w:val="24"/>
                <w:szCs w:val="20"/>
                <w:highlight w:val="none"/>
                <w:lang w:eastAsia="zh-CN"/>
              </w:rPr>
              <w:t>。</w:t>
            </w:r>
            <w:r>
              <w:rPr>
                <w:rFonts w:ascii="宋体" w:hAnsi="宋体" w:eastAsia="宋体" w:cs="Times New Roman"/>
                <w:strike/>
                <w:color w:val="00B0F0"/>
                <w:sz w:val="24"/>
                <w:szCs w:val="20"/>
                <w:highlight w:val="none"/>
              </w:rPr>
              <w:t xml:space="preserve"> </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（6）投标机型在中国国内的销售业绩，并提供装机用户名单（有用户名称）</w:t>
            </w:r>
            <w:r>
              <w:rPr>
                <w:rFonts w:hint="eastAsia" w:ascii="宋体" w:hAnsi="宋体" w:eastAsia="宋体" w:cs="Times New Roman"/>
                <w:sz w:val="24"/>
                <w:szCs w:val="20"/>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（7）投标人需提供无重大违法记录承诺书；</w:t>
            </w:r>
            <w:r>
              <w:rPr>
                <w:rFonts w:hint="eastAsia" w:ascii="宋体" w:hAnsi="宋体" w:eastAsia="宋体" w:cs="Times New Roman"/>
                <w:sz w:val="24"/>
                <w:szCs w:val="24"/>
                <w:highlight w:val="none"/>
              </w:rPr>
              <w:t>（格式见附件1）</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（8）</w:t>
            </w:r>
            <w:r>
              <w:rPr>
                <w:rFonts w:hint="eastAsia" w:ascii="宋体" w:hAnsi="宋体" w:eastAsia="宋体" w:cs="Times New Roman"/>
                <w:sz w:val="24"/>
                <w:szCs w:val="24"/>
                <w:highlight w:val="none"/>
              </w:rPr>
              <w:t>投标人需提供无行贿犯罪记录声明函；（格式见附件2）</w:t>
            </w:r>
            <w:r>
              <w:rPr>
                <w:rFonts w:hint="eastAsia" w:ascii="宋体" w:hAnsi="宋体" w:eastAsia="宋体" w:cs="Times New Roman"/>
                <w:sz w:val="24"/>
                <w:szCs w:val="24"/>
                <w:highlight w:val="none"/>
                <w:lang w:eastAsia="zh-CN"/>
              </w:rPr>
              <w:t>。</w:t>
            </w:r>
          </w:p>
          <w:p>
            <w:pPr>
              <w:kinsoku w:val="0"/>
              <w:autoSpaceDE w:val="0"/>
              <w:autoSpaceDN w:val="0"/>
              <w:spacing w:line="360" w:lineRule="auto"/>
              <w:ind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（9）</w:t>
            </w:r>
            <w:r>
              <w:rPr>
                <w:rFonts w:ascii="宋体" w:hAnsi="宋体" w:eastAsia="宋体" w:cs="Times New Roman"/>
                <w:sz w:val="24"/>
                <w:szCs w:val="20"/>
                <w:highlight w:val="none"/>
              </w:rPr>
              <w:t>投标人认为需加以说明的其他内容。</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投标人提交的资格证明文件的原件或复印件上均需加盖投标人的公章。</w:t>
            </w:r>
          </w:p>
          <w:p>
            <w:pPr>
              <w:kinsoku w:val="0"/>
              <w:autoSpaceDE w:val="0"/>
              <w:autoSpaceDN w:val="0"/>
              <w:spacing w:line="360" w:lineRule="auto"/>
              <w:ind w:left="57" w:right="57"/>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对于上述要求中未涵盖，但属投标设备必须符合的强制性认证标准、国家关于安全、卫生、环保、质量、能耗等有关规定的，必须提供相关资格证明文件，否则其投标将被拒绝。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7</w:t>
            </w:r>
            <w:r>
              <w:rPr>
                <w:rFonts w:hint="eastAsia" w:ascii="宋体" w:hAnsi="宋体" w:eastAsia="宋体" w:cs="Times New Roman"/>
                <w:sz w:val="24"/>
                <w:szCs w:val="20"/>
                <w:highlight w:val="none"/>
              </w:rPr>
              <w:t>.</w:t>
            </w:r>
            <w:r>
              <w:rPr>
                <w:rFonts w:ascii="宋体" w:hAnsi="宋体" w:eastAsia="宋体" w:cs="Times New Roman"/>
                <w:sz w:val="24"/>
                <w:szCs w:val="20"/>
                <w:highlight w:val="none"/>
              </w:rPr>
              <w:t>4</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证明货物和服务与招标文件的要求相一致的文件，可以是文字资料、图纸和数据，包括但不限于：</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1）货物主要技术指标和性能的详细说明</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2）投标人必须提供投标货物验收合格后开始使用至第10年的周期内正常、连续地使用所必须的备件和专用工具清单，包括备件和专用工具的货源及现行价格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3）投标人对照招标文件技术规格，逐条说明所提供的货物和服务已对招标文件的技术规格做出了实质性的响应，并申明与技术规格条文的偏差和例外。特别对有具体参数要求的指标，投标人必须提供所投设备的具体参数值</w:t>
            </w:r>
            <w:r>
              <w:rPr>
                <w:rFonts w:hint="eastAsia" w:ascii="宋体" w:hAnsi="宋体" w:eastAsia="宋体" w:cs="Times New Roman"/>
                <w:sz w:val="24"/>
                <w:szCs w:val="20"/>
                <w:highlight w:val="none"/>
                <w:lang w:eastAsia="zh-CN"/>
              </w:rPr>
              <w:t>。</w:t>
            </w:r>
          </w:p>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4）投标人必须对重要技术参数提供技术支持资料（例如DATA SHEET、样本、产品说明书等制造商公开发布的印刷资料或第三方检测机构出具的检测报告或权威认证机构出具的认证证书等具有法律效力的文件），未提供的，评标时不予认可</w:t>
            </w:r>
            <w:r>
              <w:rPr>
                <w:rFonts w:hint="eastAsia" w:ascii="宋体" w:hAnsi="宋体" w:eastAsia="宋体" w:cs="Times New Roman"/>
                <w:sz w:val="24"/>
                <w:szCs w:val="20"/>
                <w:highlight w:val="none"/>
                <w:lang w:eastAsia="zh-CN"/>
              </w:rPr>
              <w:t>。</w:t>
            </w:r>
          </w:p>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highlight w:val="none"/>
              </w:rPr>
            </w:pPr>
            <w:r>
              <w:rPr>
                <w:rFonts w:hint="eastAsia" w:ascii="宋体" w:hAnsi="宋体" w:eastAsia="宋体" w:cs="Times New Roman"/>
                <w:sz w:val="24"/>
                <w:szCs w:val="20"/>
                <w:highlight w:val="none"/>
              </w:rPr>
              <w:t>5）投标人的应标参数与制造商公开发布的印刷资料不一致时，以制造商公开发布的印刷资料为准。若制造商公开发布的印刷资料与第三方检测机构出具的检测报告或权威机构出具的认证证书不一致时，以第三方检测机构出具的检测报告或权威机构出具的认证证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8</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投标有效期：90天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9</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正本的份数：1份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副本的份数：2份</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电子版的份数：1份（包含：1.全套投标文件正本（加盖公章）：PDF格式；2.技术偏离表：excel版本）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9.2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投标文件的每一页都应由单位负责人或其授权代表用姓或首字母签字（包括样本等所有资料），否则其投标将被否决。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10</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拟评审日期：202</w:t>
            </w:r>
            <w:r>
              <w:rPr>
                <w:rFonts w:hint="eastAsia" w:ascii="宋体" w:hAnsi="宋体" w:eastAsia="宋体" w:cs="Times New Roman"/>
                <w:sz w:val="24"/>
                <w:szCs w:val="20"/>
                <w:highlight w:val="none"/>
                <w:lang w:val="en-US" w:eastAsia="zh-CN"/>
              </w:rPr>
              <w:t>4</w:t>
            </w:r>
            <w:r>
              <w:rPr>
                <w:rFonts w:hint="eastAsia" w:ascii="宋体" w:hAnsi="宋体" w:eastAsia="宋体" w:cs="Times New Roman"/>
                <w:sz w:val="24"/>
                <w:szCs w:val="20"/>
                <w:highlight w:val="none"/>
              </w:rPr>
              <w:t>年</w:t>
            </w:r>
            <w:r>
              <w:rPr>
                <w:rFonts w:hint="eastAsia" w:ascii="宋体" w:hAnsi="宋体" w:eastAsia="宋体" w:cs="Times New Roman"/>
                <w:sz w:val="24"/>
                <w:szCs w:val="20"/>
                <w:highlight w:val="none"/>
                <w:lang w:val="en-US" w:eastAsia="zh-CN"/>
              </w:rPr>
              <w:t>10</w:t>
            </w:r>
            <w:r>
              <w:rPr>
                <w:rFonts w:hint="eastAsia" w:ascii="宋体" w:hAnsi="宋体" w:eastAsia="宋体" w:cs="Times New Roman"/>
                <w:sz w:val="24"/>
                <w:szCs w:val="20"/>
                <w:highlight w:val="none"/>
              </w:rPr>
              <w:t>月</w:t>
            </w:r>
            <w:r>
              <w:rPr>
                <w:rFonts w:hint="eastAsia" w:ascii="宋体" w:hAnsi="宋体" w:eastAsia="宋体" w:cs="Times New Roman"/>
                <w:sz w:val="24"/>
                <w:szCs w:val="20"/>
                <w:highlight w:val="none"/>
                <w:lang w:val="en-US" w:eastAsia="zh-CN"/>
              </w:rPr>
              <w:t>11</w:t>
            </w:r>
            <w:bookmarkStart w:id="18" w:name="_GoBack"/>
            <w:bookmarkEnd w:id="18"/>
            <w:r>
              <w:rPr>
                <w:rFonts w:hint="eastAsia" w:ascii="宋体" w:hAnsi="宋体" w:eastAsia="宋体" w:cs="Times New Roman"/>
                <w:sz w:val="24"/>
                <w:szCs w:val="20"/>
                <w:highlight w:val="none"/>
              </w:rPr>
              <w:t>日</w:t>
            </w:r>
            <w:r>
              <w:rPr>
                <w:rFonts w:ascii="宋体" w:hAnsi="宋体" w:eastAsia="宋体" w:cs="Times New Roman"/>
                <w:sz w:val="24"/>
                <w:szCs w:val="20"/>
                <w:highlight w:val="none"/>
              </w:rPr>
              <w:t>北京时间</w:t>
            </w:r>
            <w:r>
              <w:rPr>
                <w:rFonts w:hint="eastAsia" w:ascii="宋体" w:hAnsi="宋体" w:eastAsia="宋体" w:cs="Times New Roman"/>
                <w:sz w:val="24"/>
                <w:szCs w:val="20"/>
                <w:highlight w:val="none"/>
                <w:lang w:val="en-US" w:eastAsia="zh-CN"/>
              </w:rPr>
              <w:t>13</w:t>
            </w:r>
            <w:r>
              <w:rPr>
                <w:rFonts w:hint="eastAsia" w:ascii="宋体" w:hAnsi="宋体" w:eastAsia="宋体" w:cs="Times New Roman"/>
                <w:sz w:val="24"/>
                <w:szCs w:val="20"/>
                <w:highlight w:val="none"/>
              </w:rPr>
              <w:t>：00</w:t>
            </w:r>
          </w:p>
          <w:p>
            <w:pPr>
              <w:spacing w:line="360" w:lineRule="auto"/>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rPr>
              <w:t>地点：</w:t>
            </w:r>
            <w:r>
              <w:rPr>
                <w:rFonts w:hint="eastAsia" w:ascii="宋体" w:hAnsi="宋体" w:eastAsia="宋体" w:cs="Times New Roman"/>
                <w:sz w:val="24"/>
                <w:szCs w:val="20"/>
                <w:highlight w:val="none"/>
                <w:lang w:val="en-US" w:eastAsia="zh-CN"/>
              </w:rPr>
              <w:t>待通知</w:t>
            </w:r>
          </w:p>
          <w:p>
            <w:pPr>
              <w:spacing w:line="360" w:lineRule="auto"/>
              <w:rPr>
                <w:rFonts w:hint="default" w:ascii="宋体" w:hAnsi="宋体" w:eastAsia="宋体" w:cs="Times New Roman"/>
                <w:sz w:val="24"/>
                <w:szCs w:val="20"/>
                <w:highlight w:val="none"/>
                <w:lang w:val="en-US"/>
              </w:rPr>
            </w:pPr>
            <w:r>
              <w:rPr>
                <w:rFonts w:hint="eastAsia" w:ascii="宋体" w:hAnsi="宋体" w:eastAsia="宋体" w:cs="Times New Roman"/>
                <w:sz w:val="24"/>
                <w:szCs w:val="20"/>
                <w:highlight w:val="none"/>
              </w:rPr>
              <w:t>地址：</w:t>
            </w:r>
            <w:r>
              <w:rPr>
                <w:rFonts w:hint="eastAsia" w:ascii="宋体" w:hAnsi="宋体" w:eastAsia="宋体" w:cs="Times New Roman"/>
                <w:sz w:val="24"/>
                <w:szCs w:val="20"/>
                <w:highlight w:val="none"/>
                <w:lang w:val="en-US" w:eastAsia="zh-CN"/>
              </w:rPr>
              <w:t>上海市嘉定区荣联路68号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14）医院通过“信用中国”网站（www.creditchina.gov.cn）、中国政府采购网（www.ccgp.gov.cn）查询投标人的信用记录，查询时间不早于本项目公告发布之日。对列入失信执行人、重大税收违法案件当事人名单、政府采购严重违法失信行为记录名单的投标人，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hint="eastAsia" w:ascii="宋体" w:hAnsi="宋体" w:eastAsia="宋体" w:cs="Times New Roman"/>
                <w:sz w:val="24"/>
                <w:szCs w:val="20"/>
                <w:highlight w:val="none"/>
              </w:rPr>
              <w:t>★</w:t>
            </w:r>
            <w:r>
              <w:rPr>
                <w:rFonts w:ascii="宋体" w:hAnsi="宋体" w:eastAsia="宋体" w:cs="Times New Roman"/>
                <w:sz w:val="24"/>
                <w:szCs w:val="20"/>
                <w:highlight w:val="none"/>
              </w:rPr>
              <w:t>10.3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投标人的投标文件中未加注“★”号的一般技术参数的偏离超过5项（包括5项），其投标将被否决。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.1</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评标货币：人民币。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0"/>
                <w:highlight w:val="none"/>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本招标文件所涵盖的货物必须按</w:t>
            </w:r>
            <w:r>
              <w:rPr>
                <w:rFonts w:hint="eastAsia" w:ascii="宋体" w:hAnsi="宋体" w:eastAsia="宋体" w:cs="Times New Roman"/>
                <w:sz w:val="24"/>
                <w:szCs w:val="20"/>
                <w:highlight w:val="none"/>
                <w:lang w:eastAsia="zh-CN"/>
              </w:rPr>
              <w:t>第四章</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货物需求一览表及技术规格</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中规定的合同交货期交货。对提前交货者不考虑降低评标价。对提交“推迟交货计划”的投标可以接受，但每延期一周其评标价将在投标总价的基础上增加</w:t>
            </w:r>
            <w:r>
              <w:rPr>
                <w:rFonts w:ascii="宋体" w:hAnsi="宋体" w:eastAsia="宋体" w:cs="Times New Roman"/>
                <w:sz w:val="24"/>
                <w:szCs w:val="20"/>
                <w:highlight w:val="none"/>
              </w:rPr>
              <w:t>0.</w:t>
            </w:r>
            <w:r>
              <w:rPr>
                <w:rFonts w:hint="eastAsia" w:ascii="宋体" w:hAnsi="宋体" w:eastAsia="宋体" w:cs="Times New Roman"/>
                <w:sz w:val="24"/>
                <w:szCs w:val="20"/>
                <w:highlight w:val="none"/>
              </w:rPr>
              <w:t>5</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。迟于规定交货计划超过1个月交货的投标将被否决。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3</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预计运行和维护费用：不适用。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eastAsia" w:ascii="宋体" w:hAnsi="宋体" w:eastAsia="宋体" w:cs="Times New Roman"/>
                <w:sz w:val="24"/>
                <w:szCs w:val="20"/>
                <w:highlight w:val="none"/>
                <w:lang w:eastAsia="zh-CN"/>
              </w:rPr>
            </w:pPr>
            <w:r>
              <w:rPr>
                <w:rFonts w:ascii="宋体" w:hAnsi="宋体" w:eastAsia="宋体" w:cs="Times New Roman"/>
                <w:sz w:val="24"/>
                <w:szCs w:val="20"/>
                <w:highlight w:val="none"/>
              </w:rPr>
              <w:t>11</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4</w:t>
            </w:r>
          </w:p>
        </w:tc>
        <w:tc>
          <w:tcPr>
            <w:tcW w:w="8366" w:type="dxa"/>
            <w:vAlign w:val="center"/>
          </w:tcPr>
          <w:p>
            <w:pPr>
              <w:spacing w:line="360" w:lineRule="auto"/>
              <w:rPr>
                <w:rFonts w:hint="eastAsia" w:ascii="宋体" w:hAnsi="宋体" w:eastAsia="宋体" w:cs="Times New Roman"/>
                <w:sz w:val="24"/>
                <w:szCs w:val="20"/>
                <w:highlight w:val="none"/>
                <w:lang w:eastAsia="zh-CN"/>
              </w:rPr>
            </w:pPr>
            <w:r>
              <w:rPr>
                <w:rFonts w:hint="eastAsia" w:ascii="宋体" w:hAnsi="宋体" w:eastAsia="宋体" w:cs="Times New Roman"/>
                <w:sz w:val="24"/>
                <w:szCs w:val="20"/>
                <w:highlight w:val="none"/>
              </w:rPr>
              <w:t>（1）招标文件中加注“★”号的为重要条款（参数），对任一重要条款（参数）的偏离，其投标将被否决</w:t>
            </w:r>
            <w:r>
              <w:rPr>
                <w:rFonts w:hint="eastAsia" w:ascii="宋体" w:hAnsi="宋体" w:eastAsia="宋体" w:cs="Times New Roman"/>
                <w:sz w:val="24"/>
                <w:szCs w:val="20"/>
                <w:highlight w:val="none"/>
                <w:lang w:eastAsia="zh-CN"/>
              </w:rPr>
              <w:t>。</w:t>
            </w:r>
          </w:p>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（2）招标文件中未加注“★”号的为一般条款（参数），高于标准的，不考虑降低评标价，低于标准的，评标价将增加该设备投标价格的百分之壹（1</w:t>
            </w:r>
            <w:r>
              <w:rPr>
                <w:rFonts w:ascii="宋体" w:hAnsi="宋体" w:eastAsia="宋体" w:cs="Times New Roman"/>
                <w:sz w:val="24"/>
                <w:szCs w:val="20"/>
                <w:highlight w:val="none"/>
              </w:rPr>
              <w:t>%</w:t>
            </w:r>
            <w:r>
              <w:rPr>
                <w:rFonts w:hint="eastAsia" w:ascii="宋体" w:hAnsi="宋体" w:eastAsia="宋体" w:cs="Times New Roman"/>
                <w:sz w:val="24"/>
                <w:szCs w:val="20"/>
                <w:highlight w:val="none"/>
              </w:rPr>
              <w:t>）（特别注明的除外）；若投标文件中没有单独列出该设备分项报价的，评标价格调整时按投标总价计算。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364" w:type="dxa"/>
            <w:gridSpan w:val="2"/>
            <w:vAlign w:val="center"/>
          </w:tcPr>
          <w:p>
            <w:pPr>
              <w:spacing w:line="360" w:lineRule="auto"/>
              <w:jc w:val="center"/>
              <w:rPr>
                <w:rFonts w:ascii="宋体" w:hAnsi="宋体" w:eastAsia="宋体" w:cs="Times New Roman"/>
                <w:b/>
                <w:sz w:val="24"/>
                <w:szCs w:val="20"/>
                <w:highlight w:val="none"/>
              </w:rPr>
            </w:pPr>
            <w:r>
              <w:rPr>
                <w:rFonts w:hint="eastAsia" w:ascii="宋体" w:hAnsi="宋体" w:eastAsia="宋体" w:cs="Times New Roman"/>
                <w:b/>
                <w:sz w:val="24"/>
                <w:szCs w:val="20"/>
                <w:highlight w:val="none"/>
              </w:rPr>
              <w:t>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hint="default" w:ascii="宋体" w:hAnsi="宋体" w:eastAsia="宋体" w:cs="Times New Roman"/>
                <w:sz w:val="24"/>
                <w:szCs w:val="20"/>
                <w:highlight w:val="none"/>
                <w:lang w:val="en-US" w:eastAsia="zh-CN"/>
              </w:rPr>
            </w:pPr>
            <w:r>
              <w:rPr>
                <w:rFonts w:hint="eastAsia" w:ascii="宋体" w:hAnsi="宋体" w:eastAsia="宋体" w:cs="Times New Roman"/>
                <w:sz w:val="24"/>
                <w:szCs w:val="20"/>
                <w:highlight w:val="none"/>
                <w:lang w:val="en-US" w:eastAsia="zh-CN"/>
              </w:rPr>
              <w:t>12</w:t>
            </w:r>
          </w:p>
        </w:tc>
        <w:tc>
          <w:tcPr>
            <w:tcW w:w="8366" w:type="dxa"/>
            <w:vAlign w:val="center"/>
          </w:tcPr>
          <w:p>
            <w:pPr>
              <w:spacing w:line="360" w:lineRule="auto"/>
              <w:rPr>
                <w:rFonts w:ascii="宋体" w:hAnsi="宋体" w:eastAsia="宋体" w:cs="Times New Roman"/>
                <w:sz w:val="24"/>
                <w:szCs w:val="20"/>
                <w:highlight w:val="none"/>
              </w:rPr>
            </w:pPr>
            <w:r>
              <w:rPr>
                <w:rFonts w:hint="eastAsia" w:ascii="宋体" w:hAnsi="宋体" w:eastAsia="宋体" w:cs="Times New Roman"/>
                <w:sz w:val="24"/>
                <w:szCs w:val="20"/>
                <w:highlight w:val="none"/>
              </w:rPr>
              <w:t>中标人的确定：综合排名第一的中标候选人为中标人。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98" w:type="dxa"/>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★增1</w:t>
            </w:r>
          </w:p>
        </w:tc>
        <w:tc>
          <w:tcPr>
            <w:tcW w:w="8366" w:type="dxa"/>
            <w:vAlign w:val="cente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关于原产于特定国家（地区）特定进口商品加征关税的规定</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（1）投标产品为原产于特定国家（地区）的特定商品被中国政府实施加征关税等措施且加征关税在实际进口时未被核准市场化采购排除的，加征的关税以及由此增加的增值税等额外税费由中标人承担</w:t>
            </w:r>
            <w:r>
              <w:rPr>
                <w:rFonts w:hint="eastAsia" w:ascii="宋体" w:hAnsi="宋体" w:eastAsia="宋体" w:cs="Times New Roman"/>
                <w:sz w:val="24"/>
                <w:szCs w:val="24"/>
                <w:highlight w:val="none"/>
                <w:lang w:eastAsia="zh-CN"/>
              </w:rPr>
              <w:t>。</w:t>
            </w:r>
          </w:p>
          <w:p>
            <w:pPr>
              <w:spacing w:line="360" w:lineRule="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（2）投标人需在投标时出具承担加征关税以及由此增加的增值税等额外税费的承诺书</w:t>
            </w:r>
            <w:r>
              <w:rPr>
                <w:rFonts w:hint="eastAsia" w:ascii="宋体" w:hAnsi="宋体" w:eastAsia="宋体" w:cs="Times New Roman"/>
                <w:sz w:val="24"/>
                <w:szCs w:val="24"/>
                <w:highlight w:val="none"/>
                <w:lang w:eastAsia="zh-CN"/>
              </w:rPr>
              <w:t>。</w:t>
            </w:r>
          </w:p>
          <w:p>
            <w:pPr>
              <w:spacing w:line="360" w:lineRule="auto"/>
              <w:jc w:val="left"/>
              <w:rPr>
                <w:rFonts w:ascii="宋体" w:hAnsi="宋体" w:eastAsia="宋体" w:cs="Times New Roman"/>
                <w:sz w:val="24"/>
                <w:szCs w:val="24"/>
                <w:highlight w:val="none"/>
              </w:rPr>
            </w:pPr>
            <w:r>
              <w:rPr>
                <w:rFonts w:hint="eastAsia" w:ascii="宋体" w:hAnsi="宋体" w:eastAsia="宋体" w:cs="Times New Roman"/>
                <w:sz w:val="24"/>
                <w:szCs w:val="24"/>
                <w:highlight w:val="none"/>
              </w:rPr>
              <w:t>（3）额外税费可以由中标人另行支付给招标人，或者在支付合同验收尾款时直接予以扣减。中标人若以外币支付税费，按海关《专用缴款书》上载明的汇率进行换算。</w:t>
            </w:r>
          </w:p>
        </w:tc>
      </w:tr>
    </w:tbl>
    <w:p>
      <w:pPr>
        <w:keepNext/>
        <w:keepLines/>
        <w:pageBreakBefore/>
        <w:autoSpaceDE w:val="0"/>
        <w:autoSpaceDN w:val="0"/>
        <w:spacing w:before="260" w:after="260" w:line="360" w:lineRule="auto"/>
        <w:ind w:left="1919" w:leftChars="914" w:firstLine="1080" w:firstLineChars="300"/>
        <w:outlineLvl w:val="2"/>
        <w:rPr>
          <w:rFonts w:ascii="宋体" w:hAnsi="宋体" w:eastAsia="宋体" w:cs="Times New Roman"/>
          <w:b/>
          <w:sz w:val="36"/>
          <w:szCs w:val="20"/>
        </w:rPr>
      </w:pPr>
      <w:bookmarkStart w:id="11" w:name="_Toc9066360"/>
      <w:bookmarkStart w:id="12" w:name="_Toc11326094"/>
      <w:r>
        <w:rPr>
          <w:rFonts w:hint="eastAsia" w:ascii="宋体" w:hAnsi="宋体" w:eastAsia="宋体" w:cs="Times New Roman"/>
          <w:b/>
          <w:sz w:val="36"/>
          <w:szCs w:val="20"/>
        </w:rPr>
        <w:t>第三章 合同专用条款</w:t>
      </w:r>
      <w:bookmarkEnd w:id="11"/>
      <w:bookmarkEnd w:id="12"/>
    </w:p>
    <w:tbl>
      <w:tblPr>
        <w:tblStyle w:val="31"/>
        <w:tblW w:w="935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773"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584"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 xml:space="preserve">1.1 </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买方名称：上海市中医医院</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买方地址：上海市</w:t>
            </w:r>
            <w:r>
              <w:rPr>
                <w:rFonts w:hint="eastAsia" w:ascii="宋体" w:hAnsi="宋体" w:eastAsia="宋体" w:cs="Times New Roman"/>
                <w:sz w:val="24"/>
                <w:szCs w:val="24"/>
                <w:lang w:val="en-US" w:eastAsia="zh-CN"/>
              </w:rPr>
              <w:t>嘉定区荣联路68</w:t>
            </w:r>
            <w:r>
              <w:rPr>
                <w:rFonts w:hint="eastAsia" w:ascii="宋体" w:hAnsi="宋体" w:eastAsia="宋体" w:cs="Times New Roman"/>
                <w:sz w:val="24"/>
                <w:szCs w:val="20"/>
              </w:rPr>
              <w:t>号</w:t>
            </w:r>
          </w:p>
          <w:p>
            <w:pPr>
              <w:spacing w:line="360" w:lineRule="auto"/>
              <w:rPr>
                <w:rFonts w:hint="default" w:ascii="宋体" w:hAnsi="宋体" w:eastAsia="宋体" w:cs="Times New Roman"/>
                <w:sz w:val="24"/>
                <w:szCs w:val="20"/>
                <w:lang w:val="en-US" w:eastAsia="zh-CN"/>
              </w:rPr>
            </w:pPr>
            <w:r>
              <w:rPr>
                <w:rFonts w:hint="eastAsia" w:ascii="宋体" w:hAnsi="宋体" w:eastAsia="宋体" w:cs="Times New Roman"/>
                <w:sz w:val="24"/>
                <w:szCs w:val="20"/>
              </w:rPr>
              <w:t>邮编：</w:t>
            </w:r>
            <w:r>
              <w:rPr>
                <w:rFonts w:hint="eastAsia" w:ascii="宋体" w:hAnsi="宋体" w:eastAsia="宋体" w:cs="Times New Roman"/>
                <w:sz w:val="24"/>
                <w:szCs w:val="20"/>
                <w:lang w:eastAsia="zh-CN"/>
              </w:rPr>
              <w:t>20</w:t>
            </w:r>
            <w:r>
              <w:rPr>
                <w:rFonts w:hint="eastAsia" w:ascii="宋体" w:hAnsi="宋体" w:eastAsia="宋体" w:cs="Times New Roman"/>
                <w:sz w:val="24"/>
                <w:szCs w:val="20"/>
                <w:lang w:val="en-US" w:eastAsia="zh-CN"/>
              </w:rPr>
              <w:t>1822</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电话：021-</w:t>
            </w:r>
            <w:r>
              <w:rPr>
                <w:rFonts w:ascii="宋体" w:hAnsi="宋体" w:eastAsia="宋体" w:cs="Times New Roman"/>
                <w:sz w:val="24"/>
                <w:szCs w:val="20"/>
              </w:rPr>
              <w:t>56639828-</w:t>
            </w:r>
            <w:r>
              <w:rPr>
                <w:rFonts w:hint="eastAsia" w:ascii="宋体" w:hAnsi="宋体" w:eastAsia="宋体" w:cs="Times New Roman"/>
                <w:sz w:val="24"/>
                <w:szCs w:val="20"/>
                <w:lang w:val="en-US" w:eastAsia="zh-CN"/>
              </w:rPr>
              <w:t>51</w:t>
            </w:r>
            <w:r>
              <w:rPr>
                <w:rFonts w:hint="eastAsia" w:ascii="宋体" w:hAnsi="宋体" w:eastAsia="宋体" w:cs="Times New Roman"/>
                <w:sz w:val="24"/>
                <w:szCs w:val="20"/>
              </w:rPr>
              <w:t>237</w:t>
            </w:r>
          </w:p>
          <w:p>
            <w:pPr>
              <w:spacing w:line="360" w:lineRule="auto"/>
              <w:rPr>
                <w:rFonts w:hint="eastAsia" w:ascii="宋体" w:hAnsi="宋体" w:eastAsia="宋体" w:cs="Times New Roman"/>
                <w:sz w:val="24"/>
                <w:szCs w:val="20"/>
                <w:lang w:eastAsia="zh-CN"/>
              </w:rPr>
            </w:pPr>
            <w:r>
              <w:rPr>
                <w:rFonts w:hint="eastAsia" w:ascii="宋体" w:hAnsi="宋体" w:eastAsia="宋体" w:cs="Times New Roman"/>
                <w:sz w:val="24"/>
                <w:szCs w:val="20"/>
              </w:rPr>
              <w:t>联系人</w:t>
            </w:r>
            <w:r>
              <w:rPr>
                <w:rFonts w:hint="eastAsia" w:ascii="宋体" w:hAnsi="宋体" w:eastAsia="宋体" w:cs="Times New Roman"/>
                <w:sz w:val="24"/>
                <w:szCs w:val="20"/>
                <w:highlight w:val="none"/>
              </w:rPr>
              <w:t>：</w:t>
            </w:r>
            <w:r>
              <w:rPr>
                <w:rFonts w:hint="eastAsia" w:ascii="宋体" w:hAnsi="宋体" w:eastAsia="宋体" w:cs="Times New Roman"/>
                <w:sz w:val="24"/>
                <w:szCs w:val="20"/>
                <w:highlight w:val="none"/>
                <w:lang w:val="en-US" w:eastAsia="zh-CN"/>
              </w:rPr>
              <w:t>孙全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773" w:type="dxa"/>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项目现场：上海市中医医院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73" w:type="dxa"/>
          </w:tcPr>
          <w:p>
            <w:pPr>
              <w:autoSpaceDE w:val="0"/>
              <w:autoSpaceDN w:val="0"/>
              <w:spacing w:line="360" w:lineRule="auto"/>
              <w:ind w:hanging="78"/>
              <w:jc w:val="center"/>
              <w:rPr>
                <w:rFonts w:ascii="宋体" w:hAnsi="宋体" w:eastAsia="宋体" w:cs="Times New Roman"/>
                <w:sz w:val="24"/>
                <w:szCs w:val="20"/>
              </w:rPr>
            </w:pPr>
            <w:r>
              <w:rPr>
                <w:rFonts w:hint="eastAsia" w:ascii="宋体" w:hAnsi="宋体" w:eastAsia="宋体" w:cs="Times New Roman"/>
                <w:sz w:val="24"/>
                <w:szCs w:val="20"/>
              </w:rPr>
              <w:t>★</w:t>
            </w:r>
            <w:r>
              <w:rPr>
                <w:rFonts w:ascii="宋体" w:hAnsi="宋体" w:eastAsia="宋体" w:cs="Times New Roman"/>
                <w:sz w:val="24"/>
                <w:szCs w:val="20"/>
              </w:rPr>
              <w:t>1.3</w:t>
            </w:r>
          </w:p>
        </w:tc>
        <w:tc>
          <w:tcPr>
            <w:tcW w:w="8584" w:type="dxa"/>
            <w:vAlign w:val="center"/>
          </w:tcPr>
          <w:p>
            <w:pPr>
              <w:autoSpaceDE w:val="0"/>
              <w:autoSpaceDN w:val="0"/>
              <w:spacing w:line="360" w:lineRule="auto"/>
              <w:ind w:right="57"/>
              <w:rPr>
                <w:rFonts w:ascii="宋体" w:hAnsi="宋体" w:eastAsia="宋体" w:cs="Times New Roman"/>
                <w:sz w:val="24"/>
                <w:szCs w:val="20"/>
                <w:shd w:val="pct10" w:color="auto" w:fill="FFFFFF"/>
              </w:rPr>
            </w:pPr>
            <w:r>
              <w:rPr>
                <w:rFonts w:hint="eastAsia" w:ascii="宋体" w:hAnsi="宋体" w:eastAsia="宋体" w:cs="Times New Roman"/>
                <w:sz w:val="24"/>
                <w:szCs w:val="20"/>
              </w:rPr>
              <w:t>履约保证金：不适用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1.</w:t>
            </w:r>
            <w:r>
              <w:rPr>
                <w:rFonts w:hint="eastAsia" w:ascii="宋体" w:hAnsi="宋体" w:eastAsia="宋体" w:cs="Times New Roman"/>
                <w:sz w:val="24"/>
                <w:szCs w:val="20"/>
                <w:lang w:val="en-US" w:eastAsia="zh-CN"/>
              </w:rPr>
              <w:t>4</w:t>
            </w:r>
          </w:p>
        </w:tc>
        <w:tc>
          <w:tcPr>
            <w:tcW w:w="8584"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卖方应按产品出厂标准供应的货物质保期内运行。若对备件有具体要求，详见第</w:t>
            </w:r>
            <w:r>
              <w:rPr>
                <w:rFonts w:hint="eastAsia" w:ascii="宋体" w:hAnsi="宋体" w:eastAsia="宋体" w:cs="Times New Roman"/>
                <w:sz w:val="24"/>
                <w:szCs w:val="20"/>
                <w:lang w:val="en-US" w:eastAsia="zh-CN"/>
              </w:rPr>
              <w:t>四</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的相关条款。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773" w:type="dxa"/>
          </w:tcPr>
          <w:p>
            <w:pPr>
              <w:spacing w:line="360" w:lineRule="auto"/>
              <w:jc w:val="center"/>
              <w:rPr>
                <w:rFonts w:ascii="宋体" w:hAnsi="宋体" w:eastAsia="宋体" w:cs="Times New Roman"/>
                <w:sz w:val="24"/>
                <w:szCs w:val="20"/>
              </w:rPr>
            </w:pPr>
            <w:r>
              <w:rPr>
                <w:rFonts w:ascii="宋体" w:hAnsi="宋体" w:eastAsia="宋体" w:cs="Times New Roman"/>
                <w:sz w:val="24"/>
                <w:szCs w:val="20"/>
              </w:rPr>
              <w:t>2</w:t>
            </w:r>
            <w:r>
              <w:rPr>
                <w:rFonts w:hint="eastAsia" w:ascii="宋体" w:hAnsi="宋体" w:eastAsia="宋体" w:cs="Times New Roman"/>
                <w:sz w:val="24"/>
                <w:szCs w:val="20"/>
              </w:rPr>
              <w:t>.1</w:t>
            </w:r>
          </w:p>
        </w:tc>
        <w:tc>
          <w:tcPr>
            <w:tcW w:w="8584" w:type="dxa"/>
            <w:vAlign w:val="center"/>
          </w:tcPr>
          <w:p>
            <w:pPr>
              <w:spacing w:line="360" w:lineRule="auto"/>
              <w:ind w:left="-2" w:leftChars="-1" w:right="57" w:firstLine="48" w:firstLineChars="20"/>
              <w:rPr>
                <w:rFonts w:ascii="宋体" w:hAnsi="宋体" w:eastAsia="宋体" w:cs="Times New Roman"/>
                <w:sz w:val="24"/>
                <w:szCs w:val="20"/>
              </w:rPr>
            </w:pPr>
            <w:r>
              <w:rPr>
                <w:rFonts w:hint="eastAsia" w:ascii="宋体" w:hAnsi="宋体" w:eastAsia="宋体" w:cs="Times New Roman"/>
                <w:sz w:val="24"/>
                <w:szCs w:val="20"/>
              </w:rPr>
              <w:t>（1）</w:t>
            </w: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90天</w:t>
            </w:r>
            <w:r>
              <w:rPr>
                <w:rFonts w:hint="eastAsia" w:ascii="宋体" w:hAnsi="宋体" w:eastAsia="宋体" w:cs="宋体"/>
                <w:b w:val="0"/>
                <w:bCs w:val="0"/>
                <w:sz w:val="24"/>
                <w:szCs w:val="24"/>
              </w:rPr>
              <w:t>内买方支付货款的100%</w:t>
            </w:r>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（2）买方支付货款前，卖方须向买方开具数额相等的发票，买方据此付款；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vAlign w:val="center"/>
          </w:tcPr>
          <w:p>
            <w:pPr>
              <w:spacing w:line="360" w:lineRule="auto"/>
              <w:jc w:val="center"/>
              <w:rPr>
                <w:rFonts w:hint="eastAsia" w:ascii="宋体" w:hAnsi="宋体" w:eastAsia="宋体" w:cs="Times New Roman"/>
                <w:sz w:val="24"/>
                <w:szCs w:val="20"/>
                <w:lang w:eastAsia="zh-CN"/>
              </w:rPr>
            </w:pPr>
            <w:r>
              <w:rPr>
                <w:rFonts w:hint="eastAsia" w:ascii="宋体" w:hAnsi="宋体" w:eastAsia="宋体" w:cs="Times New Roman"/>
                <w:sz w:val="24"/>
                <w:szCs w:val="20"/>
              </w:rPr>
              <w:t>2</w:t>
            </w:r>
            <w:r>
              <w:rPr>
                <w:rFonts w:ascii="宋体" w:hAnsi="宋体" w:eastAsia="宋体" w:cs="Times New Roman"/>
                <w:sz w:val="24"/>
                <w:szCs w:val="20"/>
              </w:rPr>
              <w:t>.</w:t>
            </w:r>
            <w:r>
              <w:rPr>
                <w:rFonts w:hint="eastAsia" w:ascii="宋体" w:hAnsi="宋体" w:eastAsia="宋体" w:cs="Times New Roman"/>
                <w:sz w:val="24"/>
                <w:szCs w:val="20"/>
                <w:lang w:val="en-US" w:eastAsia="zh-CN"/>
              </w:rPr>
              <w:t>2</w:t>
            </w:r>
          </w:p>
        </w:tc>
        <w:tc>
          <w:tcPr>
            <w:tcW w:w="8584" w:type="dxa"/>
            <w:vAlign w:val="center"/>
          </w:tcPr>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根据“关于本市贯彻卫生部《关于建立医药购销领域商业贿赂不良记录的规定》的实施意见（沪卫监察〔2007〕1号）”第八条的规定：本市医疗卫生机构在与药械生产、经营企业或代理人签署药械等采购（招标采购）合同时，应在合同中列明有关企业承诺不从事商业贿赂行为的条款及一旦被列入商业贿赂不良记录后购销合同将解除并承担违约责任的条款。买方在查明卖方有商业贿赂的情况下，买方有权解除合同，卖方应该将全额货款偿还给买方并承担因合同解除而造成对买方的一切直接损失与费用，并且卖方还应该向买方支付合同金额20%的补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3</w:t>
            </w:r>
          </w:p>
        </w:tc>
        <w:tc>
          <w:tcPr>
            <w:tcW w:w="8584" w:type="dxa"/>
            <w:vAlign w:val="center"/>
          </w:tcPr>
          <w:p>
            <w:pPr>
              <w:autoSpaceDE w:val="0"/>
              <w:autoSpaceDN w:val="0"/>
              <w:spacing w:line="360" w:lineRule="auto"/>
              <w:ind w:left="102" w:right="57" w:hanging="56"/>
              <w:rPr>
                <w:rFonts w:ascii="宋体" w:hAnsi="宋体" w:eastAsia="宋体" w:cs="Times New Roman"/>
                <w:sz w:val="24"/>
                <w:szCs w:val="20"/>
              </w:rPr>
            </w:pPr>
            <w:r>
              <w:rPr>
                <w:rFonts w:hint="eastAsia" w:ascii="宋体" w:hAnsi="宋体" w:eastAsia="宋体" w:cs="Times New Roman"/>
                <w:sz w:val="24"/>
                <w:szCs w:val="20"/>
              </w:rPr>
              <w:t>仲裁应由中国国际经济贸易仲裁委员会（CIETAC）上海分会按其仲裁规则和程序在上海进行。仲裁的官方语言应为中文。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3" w:type="dxa"/>
          </w:tcPr>
          <w:p>
            <w:pPr>
              <w:spacing w:line="360" w:lineRule="auto"/>
              <w:jc w:val="center"/>
              <w:rPr>
                <w:rFonts w:hint="eastAsia" w:ascii="宋体" w:hAnsi="宋体" w:eastAsia="宋体" w:cs="Times New Roman"/>
                <w:sz w:val="24"/>
                <w:szCs w:val="20"/>
                <w:lang w:eastAsia="zh-CN"/>
              </w:rPr>
            </w:pPr>
            <w:r>
              <w:rPr>
                <w:rFonts w:ascii="宋体" w:hAnsi="宋体" w:eastAsia="宋体" w:cs="Times New Roman"/>
                <w:sz w:val="24"/>
                <w:szCs w:val="20"/>
              </w:rPr>
              <w:t>2.</w:t>
            </w:r>
            <w:r>
              <w:rPr>
                <w:rFonts w:hint="eastAsia" w:ascii="宋体" w:hAnsi="宋体" w:eastAsia="宋体" w:cs="Times New Roman"/>
                <w:sz w:val="24"/>
                <w:szCs w:val="20"/>
                <w:lang w:val="en-US" w:eastAsia="zh-CN"/>
              </w:rPr>
              <w:t>4</w:t>
            </w:r>
          </w:p>
        </w:tc>
        <w:tc>
          <w:tcPr>
            <w:tcW w:w="8584" w:type="dxa"/>
            <w:vAlign w:val="center"/>
          </w:tcPr>
          <w:p>
            <w:pPr>
              <w:autoSpaceDE w:val="0"/>
              <w:autoSpaceDN w:val="0"/>
              <w:spacing w:line="360" w:lineRule="auto"/>
              <w:ind w:left="40" w:right="57"/>
              <w:rPr>
                <w:rFonts w:ascii="宋体" w:hAnsi="宋体" w:eastAsia="宋体" w:cs="Times New Roman"/>
                <w:sz w:val="24"/>
                <w:szCs w:val="20"/>
              </w:rPr>
            </w:pPr>
            <w:r>
              <w:rPr>
                <w:rFonts w:hint="eastAsia" w:ascii="宋体" w:hAnsi="宋体" w:eastAsia="宋体" w:cs="Times New Roman"/>
                <w:sz w:val="24"/>
                <w:szCs w:val="20"/>
              </w:rPr>
              <w:t>互惠协议的标题是“中华人民共和国和</w:t>
            </w:r>
            <w:r>
              <w:rPr>
                <w:rFonts w:hint="eastAsia" w:ascii="宋体" w:hAnsi="宋体" w:eastAsia="宋体" w:cs="Times New Roman"/>
                <w:sz w:val="24"/>
                <w:szCs w:val="20"/>
                <w:u w:val="single"/>
              </w:rPr>
              <w:t xml:space="preserve">               </w:t>
            </w:r>
            <w:r>
              <w:rPr>
                <w:rFonts w:hint="eastAsia" w:ascii="宋体" w:hAnsi="宋体" w:eastAsia="宋体" w:cs="Times New Roman"/>
                <w:sz w:val="24"/>
                <w:szCs w:val="20"/>
              </w:rPr>
              <w:t>政府关于所得税和财产税避免双重征税和防止偷漏税的协定”。</w:t>
            </w:r>
          </w:p>
        </w:tc>
      </w:tr>
    </w:tbl>
    <w:p>
      <w:pPr>
        <w:autoSpaceDE w:val="0"/>
        <w:autoSpaceDN w:val="0"/>
        <w:spacing w:line="360" w:lineRule="auto"/>
        <w:ind w:left="105"/>
        <w:rPr>
          <w:rFonts w:ascii="宋体" w:hAnsi="宋体" w:eastAsia="宋体" w:cs="Times New Roman"/>
          <w:sz w:val="24"/>
          <w:szCs w:val="20"/>
        </w:rPr>
      </w:pPr>
      <w:r>
        <w:rPr>
          <w:rFonts w:hint="eastAsia" w:ascii="宋体" w:hAnsi="宋体" w:eastAsia="宋体" w:cs="Times New Roman"/>
          <w:sz w:val="24"/>
          <w:szCs w:val="20"/>
        </w:rPr>
        <w:t>注：卖方的名称和地址应在签合同时填入。</w:t>
      </w:r>
    </w:p>
    <w:p>
      <w:pPr>
        <w:keepNext/>
        <w:keepLines/>
        <w:autoSpaceDE w:val="0"/>
        <w:autoSpaceDN w:val="0"/>
        <w:spacing w:before="260" w:after="260" w:line="360" w:lineRule="auto"/>
        <w:outlineLvl w:val="2"/>
        <w:rPr>
          <w:rFonts w:ascii="宋体" w:hAnsi="宋体" w:eastAsia="宋体" w:cs="Times New Roman"/>
          <w:b/>
          <w:sz w:val="36"/>
          <w:szCs w:val="20"/>
        </w:rPr>
        <w:sectPr>
          <w:headerReference r:id="rId13" w:type="first"/>
          <w:footerReference r:id="rId15" w:type="first"/>
          <w:footerReference r:id="rId14" w:type="default"/>
          <w:headerReference r:id="rId12" w:type="even"/>
          <w:pgSz w:w="11906" w:h="16838"/>
          <w:pgMar w:top="1418" w:right="1134" w:bottom="1418" w:left="1418" w:header="567" w:footer="567" w:gutter="0"/>
          <w:cols w:space="425" w:num="1"/>
          <w:docGrid w:type="linesAndChars" w:linePitch="312" w:charSpace="0"/>
        </w:sectPr>
      </w:pPr>
    </w:p>
    <w:p>
      <w:pPr>
        <w:keepNext/>
        <w:keepLines/>
        <w:numPr>
          <w:ilvl w:val="0"/>
          <w:numId w:val="3"/>
        </w:numPr>
        <w:autoSpaceDE w:val="0"/>
        <w:autoSpaceDN w:val="0"/>
        <w:spacing w:line="360" w:lineRule="auto"/>
        <w:ind w:right="73"/>
        <w:jc w:val="center"/>
        <w:outlineLvl w:val="2"/>
        <w:rPr>
          <w:rFonts w:hint="eastAsia" w:ascii="宋体" w:hAnsi="宋体" w:eastAsia="宋体" w:cs="宋体"/>
          <w:b/>
          <w:bCs/>
          <w:sz w:val="24"/>
          <w:szCs w:val="24"/>
          <w:highlight w:val="none"/>
          <w:lang w:val="en-US" w:eastAsia="zh-CN"/>
        </w:rPr>
      </w:pPr>
      <w:bookmarkStart w:id="13" w:name="_Toc9066361"/>
      <w:bookmarkStart w:id="14" w:name="_Toc11326095"/>
      <w:r>
        <w:rPr>
          <w:rFonts w:hint="eastAsia" w:ascii="宋体" w:hAnsi="宋体" w:eastAsia="宋体" w:cs="Times New Roman"/>
          <w:b/>
          <w:sz w:val="36"/>
          <w:szCs w:val="20"/>
          <w:highlight w:val="none"/>
        </w:rPr>
        <w:t>货物需求一览表及技术规格</w:t>
      </w:r>
      <w:bookmarkEnd w:id="13"/>
      <w:bookmarkEnd w:id="14"/>
      <w:bookmarkStart w:id="15" w:name="_Toc11326096"/>
    </w:p>
    <w:p>
      <w:pPr>
        <w:pStyle w:val="54"/>
        <w:numPr>
          <w:ilvl w:val="0"/>
          <w:numId w:val="0"/>
        </w:numPr>
        <w:spacing w:line="360" w:lineRule="auto"/>
        <w:ind w:leftChars="0"/>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包件一：</w:t>
      </w:r>
    </w:p>
    <w:p>
      <w:pPr>
        <w:pStyle w:val="54"/>
        <w:numPr>
          <w:ilvl w:val="0"/>
          <w:numId w:val="4"/>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名称：血栓弹力图试验</w:t>
      </w:r>
      <w:r>
        <w:rPr>
          <w:rFonts w:hint="eastAsia" w:ascii="宋体" w:hAnsi="宋体" w:eastAsia="宋体" w:cs="宋体"/>
          <w:b w:val="0"/>
          <w:bCs w:val="0"/>
          <w:sz w:val="24"/>
          <w:szCs w:val="24"/>
          <w:lang w:val="en-US" w:eastAsia="zh-CN"/>
        </w:rPr>
        <w:t>试剂盒</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4"/>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4"/>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用途：与血栓弹力图仪配套使用，判断抗AA</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ADP、AA&amp;ADP</w:t>
      </w:r>
      <w:r>
        <w:rPr>
          <w:rFonts w:hint="eastAsia" w:ascii="宋体" w:hAnsi="宋体" w:eastAsia="宋体" w:cs="宋体"/>
          <w:b w:val="0"/>
          <w:bCs w:val="0"/>
          <w:sz w:val="24"/>
          <w:szCs w:val="24"/>
        </w:rPr>
        <w:t>类药物的疗效</w:t>
      </w:r>
    </w:p>
    <w:p>
      <w:pPr>
        <w:pStyle w:val="18"/>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样本类型：高岭土检测使用适用于枸橼酸钠抗凝全血样本，其余检测使用肝素钠抗凝全血样本</w:t>
      </w:r>
    </w:p>
    <w:p>
      <w:pPr>
        <w:pStyle w:val="18"/>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稳定性</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激活剂复融后在机稳定性（2-8℃）</w:t>
      </w: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天，凝血触发剂在机稳定性（2-8℃）</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90天</w:t>
      </w:r>
    </w:p>
    <w:p>
      <w:pPr>
        <w:pStyle w:val="18"/>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质控品：具备原厂生产提供的质控品，分为高低2个水平，试剂有效期≥24个月</w:t>
      </w:r>
    </w:p>
    <w:p>
      <w:pPr>
        <w:pStyle w:val="18"/>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清洗液：</w:t>
      </w:r>
      <w:r>
        <w:rPr>
          <w:rFonts w:hint="eastAsia" w:ascii="宋体" w:hAnsi="宋体" w:eastAsia="宋体" w:cs="宋体"/>
          <w:b w:val="0"/>
          <w:bCs w:val="0"/>
          <w:sz w:val="24"/>
          <w:szCs w:val="24"/>
        </w:rPr>
        <w:t>具备原厂生产提供的</w:t>
      </w:r>
      <w:r>
        <w:rPr>
          <w:rFonts w:hint="eastAsia" w:ascii="宋体" w:hAnsi="宋体" w:eastAsia="宋体" w:cs="宋体"/>
          <w:b w:val="0"/>
          <w:bCs w:val="0"/>
          <w:sz w:val="24"/>
          <w:szCs w:val="24"/>
          <w:lang w:val="en-US" w:eastAsia="zh-CN"/>
        </w:rPr>
        <w:t>清洗液</w:t>
      </w:r>
      <w:r>
        <w:rPr>
          <w:rFonts w:hint="eastAsia" w:ascii="宋体" w:hAnsi="宋体" w:eastAsia="宋体" w:cs="宋体"/>
          <w:b w:val="0"/>
          <w:bCs w:val="0"/>
          <w:sz w:val="24"/>
          <w:szCs w:val="24"/>
        </w:rPr>
        <w:t>，有效期≥24个月</w:t>
      </w:r>
    </w:p>
    <w:p>
      <w:pPr>
        <w:pStyle w:val="18"/>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反应杯：</w:t>
      </w:r>
      <w:r>
        <w:rPr>
          <w:rFonts w:hint="eastAsia" w:ascii="宋体" w:hAnsi="宋体" w:eastAsia="宋体" w:cs="宋体"/>
          <w:b w:val="0"/>
          <w:bCs w:val="0"/>
          <w:sz w:val="24"/>
          <w:szCs w:val="24"/>
        </w:rPr>
        <w:t>具备原厂生产提供的</w:t>
      </w:r>
      <w:r>
        <w:rPr>
          <w:rFonts w:hint="eastAsia" w:ascii="宋体" w:hAnsi="宋体" w:eastAsia="宋体" w:cs="宋体"/>
          <w:b w:val="0"/>
          <w:bCs w:val="0"/>
          <w:sz w:val="24"/>
          <w:szCs w:val="24"/>
          <w:lang w:val="en-US" w:eastAsia="zh-CN"/>
        </w:rPr>
        <w:t>反应杯</w:t>
      </w:r>
    </w:p>
    <w:p>
      <w:pPr>
        <w:pStyle w:val="18"/>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运输条件：2-25°运输不超过14天</w:t>
      </w:r>
    </w:p>
    <w:p>
      <w:pPr>
        <w:numPr>
          <w:ilvl w:val="0"/>
          <w:numId w:val="5"/>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★投标人需响应医院SPD项目相关要求,并与上药医疗供应链管理(上海)有限公司签署相关SPD协议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rPr>
      </w:pPr>
    </w:p>
    <w:p>
      <w:pPr>
        <w:pStyle w:val="54"/>
        <w:numPr>
          <w:ilvl w:val="0"/>
          <w:numId w:val="0"/>
        </w:numPr>
        <w:spacing w:line="360" w:lineRule="auto"/>
        <w:ind w:leftChars="0"/>
        <w:rPr>
          <w:rFonts w:hint="eastAsia" w:ascii="宋体" w:hAnsi="宋体" w:eastAsia="宋体" w:cs="宋体"/>
          <w:bCs/>
          <w:sz w:val="24"/>
          <w:szCs w:val="24"/>
        </w:rPr>
      </w:pPr>
      <w:r>
        <w:rPr>
          <w:rFonts w:hint="eastAsia" w:ascii="宋体" w:hAnsi="宋体" w:eastAsia="宋体" w:cs="宋体"/>
          <w:b/>
          <w:bCs/>
          <w:sz w:val="24"/>
          <w:szCs w:val="24"/>
          <w:lang w:val="en-US" w:eastAsia="zh-CN"/>
        </w:rPr>
        <w:t>包件二：</w:t>
      </w:r>
    </w:p>
    <w:p>
      <w:pPr>
        <w:pStyle w:val="54"/>
        <w:numPr>
          <w:ilvl w:val="0"/>
          <w:numId w:val="6"/>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kern w:val="0"/>
          <w:sz w:val="24"/>
          <w:szCs w:val="24"/>
          <w:highlight w:val="none"/>
          <w:lang w:val="en-US" w:eastAsia="zh-CN"/>
        </w:rPr>
        <w:t>凝血激活检测试剂盒</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6"/>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6"/>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7"/>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用途：与血栓弹力图仪配套使用，用于体外定性检测人体全血的凝血功能，包括ACT（激活凝血时间）K（凝血时间）Angle（Alpha角度）MA（最大振幅）项目</w:t>
      </w:r>
    </w:p>
    <w:p>
      <w:pPr>
        <w:pStyle w:val="18"/>
        <w:numPr>
          <w:ilvl w:val="0"/>
          <w:numId w:val="7"/>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样本类型：适用于枸橼酸钠抗凝血样</w:t>
      </w:r>
    </w:p>
    <w:p>
      <w:pPr>
        <w:pStyle w:val="18"/>
        <w:numPr>
          <w:ilvl w:val="0"/>
          <w:numId w:val="7"/>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稳定性</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在使用前必须保持密封状态，快速高岭土试剂在机稳定性（2-8℃）</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7天，凝血触发剂在机稳定性（2-8℃）</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90天</w:t>
      </w:r>
    </w:p>
    <w:p>
      <w:pPr>
        <w:pStyle w:val="18"/>
        <w:numPr>
          <w:ilvl w:val="0"/>
          <w:numId w:val="7"/>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有效期：在储存条件（2-8℃）下</w:t>
      </w:r>
      <w:r>
        <w:rPr>
          <w:rFonts w:hint="eastAsia" w:ascii="宋体" w:hAnsi="宋体" w:eastAsia="宋体" w:cs="宋体"/>
          <w:b w:val="0"/>
          <w:bCs w:val="0"/>
          <w:sz w:val="24"/>
          <w:szCs w:val="24"/>
          <w:lang w:val="en-US" w:eastAsia="zh-CN"/>
        </w:rPr>
        <w:t>≥18</w:t>
      </w:r>
      <w:r>
        <w:rPr>
          <w:rFonts w:hint="eastAsia" w:ascii="宋体" w:hAnsi="宋体" w:eastAsia="宋体" w:cs="宋体"/>
          <w:b w:val="0"/>
          <w:bCs w:val="0"/>
          <w:sz w:val="24"/>
          <w:szCs w:val="24"/>
        </w:rPr>
        <w:t>个月</w:t>
      </w:r>
    </w:p>
    <w:p>
      <w:pPr>
        <w:pStyle w:val="18"/>
        <w:numPr>
          <w:ilvl w:val="0"/>
          <w:numId w:val="7"/>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运输条件：2-25°运输不超过14天</w:t>
      </w:r>
    </w:p>
    <w:p>
      <w:pPr>
        <w:numPr>
          <w:ilvl w:val="0"/>
          <w:numId w:val="7"/>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Times New Roman"/>
          <w:b/>
          <w:sz w:val="28"/>
          <w:szCs w:val="20"/>
        </w:rPr>
      </w:pPr>
    </w:p>
    <w:p>
      <w:pPr>
        <w:pStyle w:val="54"/>
        <w:numPr>
          <w:ilvl w:val="0"/>
          <w:numId w:val="0"/>
        </w:numPr>
        <w:spacing w:line="360" w:lineRule="auto"/>
        <w:ind w:leftChars="0"/>
        <w:rPr>
          <w:rFonts w:hint="eastAsia" w:ascii="宋体" w:hAnsi="宋体" w:eastAsia="宋体" w:cs="Times New Roman"/>
          <w:b/>
          <w:sz w:val="28"/>
          <w:szCs w:val="20"/>
        </w:rPr>
      </w:pPr>
      <w:r>
        <w:rPr>
          <w:rFonts w:hint="eastAsia" w:ascii="宋体" w:hAnsi="宋体" w:eastAsia="宋体" w:cs="宋体"/>
          <w:b/>
          <w:bCs/>
          <w:sz w:val="24"/>
          <w:szCs w:val="24"/>
          <w:lang w:val="en-US" w:eastAsia="zh-CN"/>
        </w:rPr>
        <w:t>包件三：</w:t>
      </w:r>
    </w:p>
    <w:p>
      <w:pPr>
        <w:pStyle w:val="54"/>
        <w:numPr>
          <w:ilvl w:val="0"/>
          <w:numId w:val="8"/>
        </w:numPr>
        <w:spacing w:line="360" w:lineRule="auto"/>
        <w:ind w:left="-420" w:leftChars="0" w:firstLine="420" w:firstLineChars="0"/>
        <w:rPr>
          <w:rFonts w:hint="eastAsia" w:ascii="宋体" w:hAnsi="宋体" w:eastAsia="宋体" w:cs="宋体"/>
          <w:b w:val="0"/>
          <w:bCs w:val="0"/>
          <w:sz w:val="24"/>
          <w:szCs w:val="24"/>
        </w:rPr>
      </w:pPr>
      <w:r>
        <w:rPr>
          <w:rFonts w:hint="eastAsia" w:ascii="宋体" w:hAnsi="宋体" w:eastAsia="宋体" w:cs="Times New Roman"/>
          <w:sz w:val="24"/>
          <w:szCs w:val="24"/>
          <w:lang w:val="en-US" w:eastAsia="zh-CN"/>
        </w:rPr>
        <w:t>项</w:t>
      </w:r>
      <w:r>
        <w:rPr>
          <w:rFonts w:hint="eastAsia" w:ascii="宋体" w:hAnsi="宋体" w:eastAsia="宋体" w:cs="宋体"/>
          <w:sz w:val="24"/>
          <w:szCs w:val="24"/>
          <w:lang w:val="en-US" w:eastAsia="zh-CN"/>
        </w:rPr>
        <w:t>目</w:t>
      </w:r>
      <w:r>
        <w:rPr>
          <w:rFonts w:hint="eastAsia" w:ascii="宋体" w:hAnsi="宋体" w:eastAsia="宋体" w:cs="宋体"/>
          <w:b w:val="0"/>
          <w:bCs w:val="0"/>
          <w:sz w:val="24"/>
          <w:szCs w:val="24"/>
        </w:rPr>
        <w:t>名称：</w:t>
      </w:r>
      <w:r>
        <w:rPr>
          <w:rFonts w:hint="eastAsia" w:ascii="宋体" w:hAnsi="宋体" w:eastAsia="宋体" w:cs="宋体"/>
          <w:kern w:val="0"/>
          <w:sz w:val="24"/>
          <w:szCs w:val="24"/>
          <w:highlight w:val="none"/>
          <w:lang w:val="en-US" w:eastAsia="zh-CN"/>
        </w:rPr>
        <w:t>活化凝血检测试剂盒</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b w:val="0"/>
          <w:bCs w:val="0"/>
          <w:sz w:val="24"/>
          <w:szCs w:val="24"/>
        </w:rPr>
        <w:t>交货时间：</w:t>
      </w:r>
      <w:r>
        <w:rPr>
          <w:rFonts w:hint="eastAsia" w:ascii="宋体" w:hAnsi="宋体" w:eastAsia="宋体"/>
          <w:b w:val="0"/>
          <w:bCs w:val="0"/>
          <w:sz w:val="24"/>
          <w:szCs w:val="24"/>
          <w:lang w:val="en-US" w:eastAsia="zh-CN"/>
        </w:rPr>
        <w:t>买方指定时间</w:t>
      </w:r>
    </w:p>
    <w:p>
      <w:pPr>
        <w:pStyle w:val="54"/>
        <w:numPr>
          <w:ilvl w:val="0"/>
          <w:numId w:val="8"/>
        </w:numPr>
        <w:spacing w:line="360" w:lineRule="auto"/>
        <w:ind w:left="-420" w:leftChars="0" w:firstLine="420" w:firstLineChars="0"/>
        <w:rPr>
          <w:rFonts w:ascii="宋体" w:hAnsi="宋体" w:eastAsia="宋体"/>
          <w:b w:val="0"/>
          <w:bCs w:val="0"/>
          <w:sz w:val="24"/>
          <w:szCs w:val="24"/>
        </w:rPr>
      </w:pPr>
      <w:r>
        <w:rPr>
          <w:rFonts w:hint="eastAsia" w:ascii="宋体" w:hAnsi="宋体" w:eastAsia="宋体" w:cs="宋体"/>
          <w:b w:val="0"/>
          <w:bCs w:val="0"/>
          <w:sz w:val="24"/>
          <w:szCs w:val="24"/>
        </w:rPr>
        <w:t>货到验收</w:t>
      </w:r>
      <w:r>
        <w:rPr>
          <w:rFonts w:hint="eastAsia" w:ascii="宋体" w:hAnsi="宋体" w:eastAsia="宋体" w:cs="宋体"/>
          <w:b w:val="0"/>
          <w:bCs w:val="0"/>
          <w:sz w:val="24"/>
          <w:szCs w:val="24"/>
          <w:lang w:val="en-US" w:eastAsia="zh-CN"/>
        </w:rPr>
        <w:t>并开具合格发票</w:t>
      </w:r>
      <w:r>
        <w:rPr>
          <w:rFonts w:hint="eastAsia" w:ascii="宋体" w:hAnsi="宋体" w:eastAsia="宋体" w:cs="宋体"/>
          <w:b w:val="0"/>
          <w:bCs w:val="0"/>
          <w:sz w:val="24"/>
          <w:szCs w:val="24"/>
        </w:rPr>
        <w:t>后</w:t>
      </w:r>
      <w:r>
        <w:rPr>
          <w:rFonts w:hint="eastAsia" w:ascii="宋体" w:hAnsi="宋体" w:eastAsia="宋体" w:cs="宋体"/>
          <w:b w:val="0"/>
          <w:bCs w:val="0"/>
          <w:sz w:val="24"/>
          <w:szCs w:val="24"/>
          <w:lang w:val="en-US" w:eastAsia="zh-CN"/>
        </w:rPr>
        <w:t>90日</w:t>
      </w:r>
      <w:r>
        <w:rPr>
          <w:rFonts w:hint="eastAsia" w:ascii="宋体" w:hAnsi="宋体" w:eastAsia="宋体" w:cs="宋体"/>
          <w:b w:val="0"/>
          <w:bCs w:val="0"/>
          <w:sz w:val="24"/>
          <w:szCs w:val="24"/>
        </w:rPr>
        <w:t>内买方支付货款的100%</w:t>
      </w:r>
    </w:p>
    <w:p>
      <w:pPr>
        <w:pStyle w:val="54"/>
        <w:numPr>
          <w:ilvl w:val="0"/>
          <w:numId w:val="8"/>
        </w:numPr>
        <w:spacing w:line="360" w:lineRule="auto"/>
        <w:ind w:left="-420" w:leftChars="0" w:firstLine="420" w:firstLineChars="0"/>
        <w:rPr>
          <w:rFonts w:hint="eastAsia" w:ascii="宋体" w:hAnsi="宋体" w:eastAsia="宋体"/>
          <w:b w:val="0"/>
          <w:bCs w:val="0"/>
          <w:sz w:val="24"/>
          <w:szCs w:val="24"/>
          <w:lang w:eastAsia="zh-CN"/>
        </w:rPr>
      </w:pPr>
      <w:r>
        <w:rPr>
          <w:rFonts w:hint="eastAsia" w:ascii="宋体" w:hAnsi="宋体" w:eastAsia="宋体"/>
          <w:b w:val="0"/>
          <w:bCs w:val="0"/>
          <w:sz w:val="24"/>
          <w:szCs w:val="24"/>
          <w:lang w:eastAsia="zh-CN"/>
        </w:rPr>
        <w:t>交货地点：</w:t>
      </w:r>
      <w:r>
        <w:rPr>
          <w:rFonts w:hint="eastAsia" w:ascii="宋体" w:hAnsi="宋体" w:eastAsia="宋体"/>
          <w:b w:val="0"/>
          <w:bCs w:val="0"/>
          <w:sz w:val="24"/>
          <w:szCs w:val="24"/>
          <w:lang w:val="en-US" w:eastAsia="zh-CN"/>
        </w:rPr>
        <w:t>买方</w:t>
      </w:r>
      <w:r>
        <w:rPr>
          <w:rFonts w:hint="eastAsia" w:ascii="宋体" w:hAnsi="宋体" w:eastAsia="宋体"/>
          <w:b w:val="0"/>
          <w:bCs w:val="0"/>
          <w:sz w:val="24"/>
          <w:szCs w:val="24"/>
          <w:lang w:eastAsia="zh-CN"/>
        </w:rPr>
        <w:t>指定地点</w:t>
      </w:r>
    </w:p>
    <w:p>
      <w:pPr>
        <w:pStyle w:val="54"/>
        <w:widowControl w:val="0"/>
        <w:numPr>
          <w:ilvl w:val="0"/>
          <w:numId w:val="0"/>
        </w:numPr>
        <w:spacing w:line="360" w:lineRule="auto"/>
        <w:ind w:leftChars="0"/>
        <w:jc w:val="both"/>
        <w:rPr>
          <w:rFonts w:hint="eastAsia" w:ascii="宋体" w:hAnsi="宋体" w:eastAsia="宋体"/>
          <w:b w:val="0"/>
          <w:bCs w:val="0"/>
          <w:sz w:val="24"/>
          <w:szCs w:val="24"/>
          <w:lang w:val="en-US" w:eastAsia="zh-CN"/>
        </w:rPr>
      </w:pPr>
      <w:r>
        <w:rPr>
          <w:rFonts w:hint="eastAsia" w:ascii="宋体" w:hAnsi="宋体" w:eastAsia="宋体"/>
          <w:b w:val="0"/>
          <w:bCs w:val="0"/>
          <w:sz w:val="24"/>
          <w:szCs w:val="24"/>
          <w:lang w:val="en-US" w:eastAsia="zh-CN"/>
        </w:rPr>
        <w:t>五、</w:t>
      </w:r>
      <w:r>
        <w:rPr>
          <w:rFonts w:hint="eastAsia" w:ascii="宋体" w:hAnsi="宋体" w:eastAsia="宋体"/>
          <w:b w:val="0"/>
          <w:bCs w:val="0"/>
          <w:sz w:val="24"/>
          <w:szCs w:val="24"/>
        </w:rPr>
        <w:t>技术指标要求</w:t>
      </w:r>
      <w:r>
        <w:rPr>
          <w:rFonts w:hint="eastAsia" w:ascii="宋体" w:hAnsi="宋体" w:eastAsia="宋体"/>
          <w:b w:val="0"/>
          <w:bCs w:val="0"/>
          <w:sz w:val="24"/>
          <w:szCs w:val="24"/>
          <w:lang w:eastAsia="zh-CN"/>
        </w:rPr>
        <w:t>：</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用途：与血栓弹力图仪配套使用，用于体外定性检测人体全血的凝血功能，包括R（反应时间）K（凝血时间）Angle（Alpha角度）MA（最大振幅）项目</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样本类型：适用于枸橼酸钠抗凝血样</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稳定性</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在使用前必须保持密封状态，高岭土试剂在机稳定性（2-8℃）</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7天，凝血触发剂在机稳定性（2-8℃）</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90天</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有效期：在储存条件（2-8℃）下</w:t>
      </w:r>
      <w:r>
        <w:rPr>
          <w:rFonts w:hint="eastAsia" w:ascii="宋体" w:hAnsi="宋体" w:eastAsia="宋体" w:cs="宋体"/>
          <w:b w:val="0"/>
          <w:bCs w:val="0"/>
          <w:sz w:val="24"/>
          <w:szCs w:val="24"/>
          <w:lang w:val="en-US" w:eastAsia="zh-CN"/>
        </w:rPr>
        <w:t>≥18</w:t>
      </w:r>
      <w:r>
        <w:rPr>
          <w:rFonts w:hint="eastAsia" w:ascii="宋体" w:hAnsi="宋体" w:eastAsia="宋体" w:cs="宋体"/>
          <w:b w:val="0"/>
          <w:bCs w:val="0"/>
          <w:sz w:val="24"/>
          <w:szCs w:val="24"/>
        </w:rPr>
        <w:t>个月</w:t>
      </w:r>
    </w:p>
    <w:p>
      <w:pPr>
        <w:pStyle w:val="18"/>
        <w:numPr>
          <w:ilvl w:val="0"/>
          <w:numId w:val="9"/>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运输条件：2-25°运输不超过14天</w:t>
      </w:r>
    </w:p>
    <w:p>
      <w:pPr>
        <w:numPr>
          <w:ilvl w:val="0"/>
          <w:numId w:val="9"/>
        </w:numPr>
        <w:spacing w:line="360" w:lineRule="auto"/>
        <w:ind w:left="425" w:leftChars="0" w:hanging="425" w:firstLineChars="0"/>
        <w:rPr>
          <w:rFonts w:hint="eastAsia" w:ascii="宋体" w:hAnsi="宋体" w:eastAsia="宋体" w:cs="宋体"/>
          <w:b w:val="0"/>
          <w:bCs w:val="0"/>
          <w:sz w:val="24"/>
          <w:szCs w:val="24"/>
        </w:rPr>
      </w:pPr>
      <w:r>
        <w:rPr>
          <w:rFonts w:hint="eastAsia" w:ascii="宋体" w:hAnsi="宋体" w:eastAsia="宋体" w:cs="宋体"/>
          <w:b w:val="0"/>
          <w:bCs w:val="0"/>
          <w:sz w:val="24"/>
          <w:szCs w:val="24"/>
        </w:rPr>
        <w:t>★投标人需响应医院SPD项目相关要求,并与上药医疗供应链管理(上海)有限公司签署相关SPD协议</w:t>
      </w: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hint="eastAsia" w:ascii="宋体" w:hAnsi="宋体" w:eastAsia="宋体" w:cs="Times New Roman"/>
          <w:b/>
          <w:sz w:val="28"/>
          <w:szCs w:val="20"/>
        </w:rPr>
      </w:pPr>
    </w:p>
    <w:p>
      <w:pPr>
        <w:numPr>
          <w:ilvl w:val="0"/>
          <w:numId w:val="0"/>
        </w:numPr>
        <w:spacing w:line="360" w:lineRule="auto"/>
        <w:ind w:leftChars="0"/>
        <w:rPr>
          <w:rFonts w:ascii="宋体" w:hAnsi="宋体" w:eastAsia="宋体" w:cs="黑体"/>
          <w:spacing w:val="8"/>
          <w:kern w:val="0"/>
          <w:sz w:val="22"/>
          <w:szCs w:val="28"/>
        </w:rPr>
      </w:pPr>
      <w:r>
        <w:rPr>
          <w:rFonts w:hint="eastAsia" w:ascii="宋体" w:hAnsi="宋体" w:eastAsia="宋体" w:cs="Times New Roman"/>
          <w:b/>
          <w:sz w:val="28"/>
          <w:szCs w:val="20"/>
        </w:rPr>
        <w:t>附件1：无重大违法记录承诺书（格式）</w:t>
      </w:r>
      <w:bookmarkEnd w:id="15"/>
    </w:p>
    <w:p>
      <w:pPr>
        <w:autoSpaceDE w:val="0"/>
        <w:autoSpaceDN w:val="0"/>
        <w:adjustRightInd w:val="0"/>
        <w:snapToGrid w:val="0"/>
        <w:spacing w:line="360" w:lineRule="auto"/>
        <w:jc w:val="center"/>
        <w:outlineLvl w:val="1"/>
        <w:rPr>
          <w:rFonts w:ascii="宋体" w:hAnsi="宋体" w:eastAsia="宋体" w:cs="黑体"/>
          <w:b/>
          <w:spacing w:val="8"/>
          <w:kern w:val="0"/>
          <w:sz w:val="27"/>
          <w:szCs w:val="20"/>
        </w:rPr>
      </w:pPr>
    </w:p>
    <w:p>
      <w:pPr>
        <w:spacing w:line="360" w:lineRule="auto"/>
        <w:rPr>
          <w:rFonts w:ascii="宋体" w:hAnsi="宋体" w:eastAsia="宋体" w:cs="Times New Roman"/>
          <w:sz w:val="24"/>
          <w:szCs w:val="20"/>
        </w:rPr>
      </w:pPr>
      <w:bookmarkStart w:id="16" w:name="_Hlk72236197"/>
      <w:r>
        <w:rPr>
          <w:rFonts w:hint="eastAsia" w:ascii="宋体" w:hAnsi="宋体" w:eastAsia="宋体" w:cs="Times New Roman"/>
          <w:sz w:val="24"/>
          <w:szCs w:val="20"/>
        </w:rPr>
        <w:t>上海市中医医院</w:t>
      </w:r>
      <w:bookmarkEnd w:id="16"/>
      <w:r>
        <w:rPr>
          <w:rFonts w:hint="eastAsia" w:ascii="宋体" w:hAnsi="宋体" w:eastAsia="宋体" w:cs="Times New Roman"/>
          <w:sz w:val="24"/>
          <w:szCs w:val="20"/>
        </w:rPr>
        <w:t>：</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beforeLines="50" w:afterLines="50" w:line="360" w:lineRule="auto"/>
        <w:jc w:val="left"/>
        <w:rPr>
          <w:rFonts w:ascii="宋体" w:hAnsi="宋体" w:eastAsia="宋体" w:cs="Times New Roman"/>
          <w:sz w:val="24"/>
          <w:szCs w:val="20"/>
        </w:rPr>
      </w:pPr>
      <w:r>
        <w:rPr>
          <w:rFonts w:hint="eastAsia" w:ascii="宋体" w:hAnsi="宋体" w:eastAsia="宋体" w:cs="Times New Roman"/>
          <w:sz w:val="24"/>
          <w:szCs w:val="20"/>
          <w:u w:val="single"/>
        </w:rPr>
        <w:t xml:space="preserve">      （投标人名称）     </w:t>
      </w:r>
      <w:r>
        <w:rPr>
          <w:rFonts w:hint="eastAsia" w:ascii="宋体" w:hAnsi="宋体" w:eastAsia="宋体" w:cs="Times New Roman"/>
          <w:sz w:val="24"/>
          <w:szCs w:val="20"/>
        </w:rPr>
        <w:t xml:space="preserve">参加贵公司组织的 </w:t>
      </w:r>
      <w:r>
        <w:rPr>
          <w:rFonts w:hint="eastAsia" w:ascii="宋体" w:hAnsi="宋体" w:eastAsia="宋体" w:cs="Times New Roman"/>
          <w:sz w:val="24"/>
          <w:szCs w:val="20"/>
          <w:u w:val="single"/>
        </w:rPr>
        <w:t xml:space="preserve"> （项目名称） </w:t>
      </w:r>
      <w:r>
        <w:rPr>
          <w:rFonts w:hint="eastAsia" w:ascii="宋体" w:hAnsi="宋体" w:eastAsia="宋体" w:cs="Times New Roman"/>
          <w:sz w:val="24"/>
          <w:szCs w:val="20"/>
        </w:rPr>
        <w:t>项目的投标。在此郑重声明：我公司参加政府采购活动前三年内，在经营活动中没有重大违法记录。</w:t>
      </w:r>
    </w:p>
    <w:p>
      <w:pPr>
        <w:spacing w:line="360" w:lineRule="auto"/>
        <w:rPr>
          <w:rFonts w:ascii="宋体" w:hAnsi="宋体" w:eastAsia="宋体" w:cs="Times New Roman"/>
          <w:sz w:val="24"/>
          <w:szCs w:val="20"/>
        </w:rPr>
      </w:pPr>
    </w:p>
    <w:p>
      <w:pPr>
        <w:spacing w:line="360" w:lineRule="auto"/>
        <w:rPr>
          <w:rFonts w:ascii="宋体" w:hAnsi="宋体" w:eastAsia="宋体" w:cs="Times New Roman"/>
          <w:sz w:val="24"/>
          <w:szCs w:val="20"/>
        </w:rPr>
      </w:pP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投标人代表签字：______________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日期：________________________</w:t>
      </w:r>
    </w:p>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投标人名称：__________________</w:t>
      </w:r>
    </w:p>
    <w:p>
      <w:pPr>
        <w:spacing w:line="360" w:lineRule="auto"/>
        <w:jc w:val="left"/>
        <w:rPr>
          <w:rFonts w:ascii="宋体" w:hAnsi="宋体" w:eastAsia="宋体" w:cs="Times New Roman"/>
          <w:sz w:val="24"/>
          <w:szCs w:val="20"/>
        </w:rPr>
        <w:sectPr>
          <w:pgSz w:w="11907" w:h="16840"/>
          <w:pgMar w:top="1418" w:right="1302" w:bottom="1242" w:left="1260" w:header="567" w:footer="567" w:gutter="0"/>
          <w:cols w:space="425" w:num="1"/>
        </w:sectPr>
      </w:pPr>
      <w:r>
        <w:rPr>
          <w:rFonts w:hint="eastAsia" w:ascii="宋体" w:hAnsi="宋体" w:eastAsia="宋体" w:cs="Times New Roman"/>
          <w:sz w:val="24"/>
          <w:szCs w:val="20"/>
        </w:rPr>
        <w:t>公章：_______________________</w:t>
      </w:r>
    </w:p>
    <w:p>
      <w:pPr>
        <w:keepNext/>
        <w:keepLines/>
        <w:autoSpaceDE w:val="0"/>
        <w:autoSpaceDN w:val="0"/>
        <w:spacing w:before="260" w:after="260" w:line="360" w:lineRule="auto"/>
        <w:jc w:val="left"/>
        <w:outlineLvl w:val="2"/>
        <w:rPr>
          <w:rFonts w:ascii="宋体" w:hAnsi="宋体" w:eastAsia="宋体" w:cs="Times New Roman"/>
          <w:b/>
          <w:sz w:val="28"/>
          <w:szCs w:val="20"/>
        </w:rPr>
      </w:pPr>
      <w:bookmarkStart w:id="17" w:name="_Toc11326097"/>
      <w:r>
        <w:rPr>
          <w:rFonts w:hint="eastAsia" w:ascii="宋体" w:hAnsi="宋体" w:eastAsia="宋体" w:cs="Times New Roman"/>
          <w:b/>
          <w:sz w:val="28"/>
          <w:szCs w:val="20"/>
        </w:rPr>
        <w:t>附件2：无行贿犯罪记录声明函（格式）</w:t>
      </w:r>
      <w:bookmarkEnd w:id="17"/>
    </w:p>
    <w:p>
      <w:pPr>
        <w:autoSpaceDE w:val="0"/>
        <w:autoSpaceDN w:val="0"/>
        <w:adjustRightInd w:val="0"/>
        <w:snapToGrid w:val="0"/>
        <w:spacing w:line="360" w:lineRule="auto"/>
        <w:jc w:val="center"/>
        <w:outlineLvl w:val="1"/>
        <w:rPr>
          <w:rFonts w:ascii="宋体" w:hAnsi="宋体" w:eastAsia="宋体" w:cs="黑体"/>
          <w:b/>
          <w:spacing w:val="8"/>
          <w:kern w:val="0"/>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上海市中医医院：</w:t>
      </w:r>
    </w:p>
    <w:p>
      <w:pPr>
        <w:spacing w:beforeLines="50" w:afterLines="50" w:line="360" w:lineRule="auto"/>
        <w:jc w:val="left"/>
        <w:rPr>
          <w:rFonts w:ascii="宋体" w:hAnsi="宋体" w:eastAsia="宋体" w:cs="Times New Roman"/>
          <w:sz w:val="24"/>
          <w:szCs w:val="24"/>
        </w:rPr>
      </w:pP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参加贵公司组织的</w:t>
      </w:r>
      <w:r>
        <w:rPr>
          <w:rFonts w:hint="eastAsia" w:ascii="宋体" w:hAnsi="宋体" w:eastAsia="宋体" w:cs="Times New Roman"/>
          <w:sz w:val="24"/>
          <w:szCs w:val="24"/>
          <w:u w:val="single"/>
        </w:rPr>
        <w:t xml:space="preserve">      （项目名称）     </w:t>
      </w:r>
      <w:r>
        <w:rPr>
          <w:rFonts w:hint="eastAsia" w:ascii="宋体" w:hAnsi="宋体" w:eastAsia="宋体" w:cs="Times New Roman"/>
          <w:sz w:val="24"/>
          <w:szCs w:val="24"/>
        </w:rPr>
        <w:t>项目的投标。在此郑重声明：经查询中国裁判文书网，我公司自开展经营活动以来，未有过行贿犯罪记录。</w:t>
      </w:r>
    </w:p>
    <w:p>
      <w:pPr>
        <w:spacing w:beforeLines="50" w:afterLines="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特此声明。</w:t>
      </w:r>
    </w:p>
    <w:p>
      <w:pPr>
        <w:spacing w:beforeLines="50" w:afterLines="50" w:line="360" w:lineRule="auto"/>
        <w:jc w:val="left"/>
        <w:rPr>
          <w:rFonts w:ascii="宋体" w:hAnsi="宋体" w:eastAsia="宋体" w:cs="Times New Roman"/>
          <w:sz w:val="24"/>
          <w:szCs w:val="24"/>
        </w:rPr>
      </w:pPr>
      <w:r>
        <w:rPr>
          <w:rFonts w:hint="eastAsia" w:ascii="宋体" w:hAnsi="宋体" w:eastAsia="宋体" w:cs="Arial"/>
          <w:kern w:val="0"/>
          <w:sz w:val="24"/>
          <w:szCs w:val="24"/>
        </w:rPr>
        <w:t xml:space="preserve">    本公司对上述声明的真实性负责。如有虚假，将依法承担相应责任。</w:t>
      </w:r>
    </w:p>
    <w:p>
      <w:pPr>
        <w:spacing w:beforeLines="50" w:afterLines="50"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投标人代表签字</w:t>
      </w:r>
      <w:r>
        <w:rPr>
          <w:rFonts w:ascii="宋体" w:hAnsi="宋体" w:eastAsia="宋体" w:cs="Times New Roman"/>
          <w:sz w:val="24"/>
          <w:szCs w:val="24"/>
        </w:rPr>
        <w:t>:</w:t>
      </w:r>
      <w:r>
        <w:rPr>
          <w:rFonts w:hint="eastAsia" w:ascii="宋体" w:hAnsi="宋体" w:eastAsia="宋体" w:cs="Times New Roman"/>
          <w:sz w:val="24"/>
          <w:szCs w:val="24"/>
        </w:rPr>
        <w:t>______________</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日期:__________________________  </w:t>
      </w:r>
    </w:p>
    <w:p>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投标人名称</w:t>
      </w:r>
      <w:r>
        <w:rPr>
          <w:rFonts w:ascii="宋体" w:hAnsi="宋体" w:eastAsia="宋体" w:cs="Times New Roman"/>
          <w:sz w:val="24"/>
          <w:szCs w:val="24"/>
        </w:rPr>
        <w:t>:</w:t>
      </w:r>
      <w:r>
        <w:rPr>
          <w:rFonts w:hint="eastAsia" w:ascii="宋体" w:hAnsi="宋体" w:eastAsia="宋体" w:cs="Times New Roman"/>
          <w:sz w:val="24"/>
          <w:szCs w:val="24"/>
        </w:rPr>
        <w:t xml:space="preserve">______________________ </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公章：</w:t>
      </w:r>
      <w:r>
        <w:rPr>
          <w:rFonts w:hint="eastAsia" w:ascii="宋体" w:hAnsi="宋体" w:eastAsia="宋体" w:cs="Times New Roman"/>
          <w:sz w:val="24"/>
          <w:szCs w:val="24"/>
          <w:u w:val="single"/>
        </w:rPr>
        <w:t xml:space="preserve">              </w:t>
      </w: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pgSz w:w="11907" w:h="16840"/>
      <w:pgMar w:top="141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7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Adobe 黑体 Std R">
    <w:altName w:val="黑体"/>
    <w:panose1 w:val="00000000000000000000"/>
    <w:charset w:val="86"/>
    <w:family w:val="swiss"/>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1</w:t>
    </w:r>
    <w:r>
      <w:rPr>
        <w:lang w:val="zh-CN"/>
      </w:rPr>
      <w:fldChar w:fldCharType="end"/>
    </w:r>
  </w:p>
  <w:p>
    <w:pPr>
      <w:pStyle w:val="22"/>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p>
    <w:pPr>
      <w:pStyle w:val="22"/>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right" w:y="1"/>
      <w:rPr>
        <w:rStyle w:val="34"/>
      </w:rPr>
    </w:pPr>
    <w:r>
      <w:rPr>
        <w:rStyle w:val="34"/>
      </w:rPr>
      <w:fldChar w:fldCharType="begin"/>
    </w:r>
    <w:r>
      <w:rPr>
        <w:rStyle w:val="34"/>
      </w:rPr>
      <w:instrText xml:space="preserve">PAGE  </w:instrText>
    </w:r>
    <w:r>
      <w:rPr>
        <w:rStyle w:val="34"/>
      </w:rPr>
      <w:fldChar w:fldCharType="separate"/>
    </w:r>
    <w:r>
      <w:rPr>
        <w:rStyle w:val="34"/>
      </w:rPr>
      <w:t>77</w:t>
    </w:r>
    <w:r>
      <w:rPr>
        <w:rStyle w:val="34"/>
      </w:rPr>
      <w:fldChar w:fldCharType="end"/>
    </w:r>
  </w:p>
  <w:p>
    <w:pPr>
      <w:pStyle w:val="22"/>
      <w:pBdr>
        <w:top w:val="single" w:color="auto" w:sz="4" w:space="1"/>
      </w:pBdr>
      <w:tabs>
        <w:tab w:val="right" w:pos="7980"/>
        <w:tab w:val="right" w:pos="8820"/>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rPr>
        <w:rFonts w:ascii="宋体" w:hAnsi="宋体"/>
      </w:rPr>
    </w:pPr>
    <w:r>
      <w:pict>
        <v:shape id="PowerPlusWaterMarkObject9210345" o:spid="_x0000_s4098" o:spt="136" type="#_x0000_t136" style="position:absolute;left:0pt;height:109.9pt;width:549.5pt;mso-position-horizontal:center;mso-position-horizontal-relative:margin;mso-position-vertical:center;mso-position-vertical-relative:margin;rotation:20643840f;z-index:-25165516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4" o:spid="_x0000_s4099" o:spt="136" type="#_x0000_t136" style="position:absolute;left:0pt;height:109.9pt;width:549.5pt;mso-position-horizontal:center;mso-position-horizontal-relative:margin;mso-position-vertical:center;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r>
      <w:pict>
        <v:shape id="PowerPlusWaterMarkObject9210343" o:spid="_x0000_s4097" o:spt="136" type="#_x0000_t136" style="position:absolute;left:0pt;height:109.9pt;width:549.5pt;mso-position-horizontal:center;mso-position-horizontal-relative:margin;mso-position-vertical:center;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tabs>
        <w:tab w:val="clear" w:pos="4153"/>
        <w:tab w:val="clear" w:pos="8306"/>
      </w:tabs>
      <w:jc w:val="left"/>
    </w:pPr>
    <w:r>
      <w:pict>
        <v:shape id="_x0000_s4101" o:spid="_x0000_s4101" o:spt="136" type="#_x0000_t136" style="position:absolute;left:0pt;height:109.9pt;width:549.5pt;mso-position-horizontal:center;mso-position-horizontal-relative:margin;mso-position-vertical:center;mso-position-vertical-relative:margin;rotation:20643840f;z-index:-25164902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PowerPlusWaterMarkObject9210348" o:spid="_x0000_s4102" o:spt="136" type="#_x0000_t136" style="position:absolute;left:0pt;height:109.9pt;width:549.5pt;mso-position-horizontal:center;mso-position-horizontal-relative:margin;mso-position-vertical:center;mso-position-vertical-relative:margin;rotation:20643840f;z-index:-25165209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7" o:spid="_x0000_s4103" o:spt="136" type="#_x0000_t136" style="position:absolute;left:0pt;height:109.9pt;width:549.5pt;mso-position-horizontal:center;mso-position-horizontal-relative:margin;mso-position-vertical:center;mso-position-vertical-relative:margin;rotation:20643840f;z-index:-25165312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6" o:spid="_x0000_s4100" o:spt="136" type="#_x0000_t136" style="position:absolute;left:0pt;height:109.9pt;width:549.5pt;mso-position-horizontal:center;mso-position-horizontal-relative:margin;mso-position-vertical:center;mso-position-vertical-relative:margin;rotation:20643840f;z-index:-251654144;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50" o:spid="_x0000_s4105" o:spt="136" type="#_x0000_t136" style="position:absolute;left:0pt;height:109.9pt;width:549.5pt;mso-position-horizontal:center;mso-position-horizontal-relative:margin;mso-position-vertical:center;mso-position-vertical-relative:margin;rotation:20643840f;z-index:-251650048;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pict>
        <v:shape id="PowerPlusWaterMarkObject9210349" o:spid="_x0000_s4104" o:spt="136" type="#_x0000_t136" style="position:absolute;left:0pt;height:109.9pt;width:549.5pt;mso-position-horizontal:center;mso-position-horizontal-relative:margin;mso-position-vertical:center;mso-position-vertical-relative:margin;rotation:20643840f;z-index:-25165107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E91A2"/>
    <w:multiLevelType w:val="singleLevel"/>
    <w:tmpl w:val="A20E91A2"/>
    <w:lvl w:ilvl="0" w:tentative="0">
      <w:start w:val="4"/>
      <w:numFmt w:val="chineseCounting"/>
      <w:suff w:val="space"/>
      <w:lvlText w:val="第%1章"/>
      <w:lvlJc w:val="left"/>
      <w:rPr>
        <w:rFonts w:hint="eastAsia"/>
        <w:sz w:val="36"/>
        <w:szCs w:val="36"/>
        <w:lang w:val="en-US"/>
      </w:rPr>
    </w:lvl>
  </w:abstractNum>
  <w:abstractNum w:abstractNumId="1">
    <w:nsid w:val="B4BEB4AB"/>
    <w:multiLevelType w:val="singleLevel"/>
    <w:tmpl w:val="B4BEB4AB"/>
    <w:lvl w:ilvl="0" w:tentative="0">
      <w:start w:val="1"/>
      <w:numFmt w:val="chineseCounting"/>
      <w:suff w:val="nothing"/>
      <w:lvlText w:val="%1、"/>
      <w:lvlJc w:val="left"/>
      <w:pPr>
        <w:ind w:left="-420" w:firstLine="420"/>
      </w:pPr>
      <w:rPr>
        <w:rFonts w:hint="eastAsia"/>
        <w:b w:val="0"/>
        <w:bCs w:val="0"/>
      </w:rPr>
    </w:lvl>
  </w:abstractNum>
  <w:abstractNum w:abstractNumId="2">
    <w:nsid w:val="BB756C24"/>
    <w:multiLevelType w:val="singleLevel"/>
    <w:tmpl w:val="BB756C24"/>
    <w:lvl w:ilvl="0" w:tentative="0">
      <w:start w:val="1"/>
      <w:numFmt w:val="decimal"/>
      <w:lvlText w:val="%1."/>
      <w:lvlJc w:val="left"/>
      <w:pPr>
        <w:ind w:left="425" w:hanging="425"/>
      </w:pPr>
      <w:rPr>
        <w:rFonts w:hint="default"/>
      </w:rPr>
    </w:lvl>
  </w:abstractNum>
  <w:abstractNum w:abstractNumId="3">
    <w:nsid w:val="BE9D4EE6"/>
    <w:multiLevelType w:val="singleLevel"/>
    <w:tmpl w:val="BE9D4EE6"/>
    <w:lvl w:ilvl="0" w:tentative="0">
      <w:start w:val="1"/>
      <w:numFmt w:val="chineseCounting"/>
      <w:suff w:val="nothing"/>
      <w:lvlText w:val="%1、"/>
      <w:lvlJc w:val="left"/>
      <w:pPr>
        <w:ind w:left="-420" w:firstLine="420"/>
      </w:pPr>
      <w:rPr>
        <w:rFonts w:hint="eastAsia"/>
        <w:b w:val="0"/>
        <w:bCs w:val="0"/>
      </w:rPr>
    </w:lvl>
  </w:abstractNum>
  <w:abstractNum w:abstractNumId="4">
    <w:nsid w:val="CD42E90B"/>
    <w:multiLevelType w:val="singleLevel"/>
    <w:tmpl w:val="CD42E90B"/>
    <w:lvl w:ilvl="0" w:tentative="0">
      <w:start w:val="2"/>
      <w:numFmt w:val="decimal"/>
      <w:suff w:val="nothing"/>
      <w:lvlText w:val="（%1）"/>
      <w:lvlJc w:val="left"/>
    </w:lvl>
  </w:abstractNum>
  <w:abstractNum w:abstractNumId="5">
    <w:nsid w:val="05B89B93"/>
    <w:multiLevelType w:val="singleLevel"/>
    <w:tmpl w:val="05B89B93"/>
    <w:lvl w:ilvl="0" w:tentative="0">
      <w:start w:val="1"/>
      <w:numFmt w:val="decimal"/>
      <w:lvlText w:val="%1."/>
      <w:lvlJc w:val="left"/>
      <w:pPr>
        <w:ind w:left="425" w:hanging="425"/>
      </w:pPr>
      <w:rPr>
        <w:rFonts w:hint="default"/>
      </w:rPr>
    </w:lvl>
  </w:abstractNum>
  <w:abstractNum w:abstractNumId="6">
    <w:nsid w:val="36E8D0C3"/>
    <w:multiLevelType w:val="singleLevel"/>
    <w:tmpl w:val="36E8D0C3"/>
    <w:lvl w:ilvl="0" w:tentative="0">
      <w:start w:val="1"/>
      <w:numFmt w:val="chineseCounting"/>
      <w:suff w:val="nothing"/>
      <w:lvlText w:val="%1、"/>
      <w:lvlJc w:val="left"/>
      <w:pPr>
        <w:ind w:left="-420" w:firstLine="420"/>
      </w:pPr>
      <w:rPr>
        <w:rFonts w:hint="eastAsia"/>
        <w:b w:val="0"/>
        <w:bCs w:val="0"/>
      </w:rPr>
    </w:lvl>
  </w:abstractNum>
  <w:abstractNum w:abstractNumId="7">
    <w:nsid w:val="57FB7DDC"/>
    <w:multiLevelType w:val="multilevel"/>
    <w:tmpl w:val="57FB7DDC"/>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61D751DC"/>
    <w:multiLevelType w:val="singleLevel"/>
    <w:tmpl w:val="61D751DC"/>
    <w:lvl w:ilvl="0" w:tentative="0">
      <w:start w:val="1"/>
      <w:numFmt w:val="decimal"/>
      <w:lvlText w:val="%1."/>
      <w:lvlJc w:val="left"/>
      <w:pPr>
        <w:ind w:left="425" w:hanging="425"/>
      </w:pPr>
      <w:rPr>
        <w:rFonts w:hint="default"/>
      </w:rPr>
    </w:lvl>
  </w:abstractNum>
  <w:num w:numId="1">
    <w:abstractNumId w:val="7"/>
  </w:num>
  <w:num w:numId="2">
    <w:abstractNumId w:val="4"/>
  </w:num>
  <w:num w:numId="3">
    <w:abstractNumId w:val="0"/>
  </w:num>
  <w:num w:numId="4">
    <w:abstractNumId w:val="1"/>
  </w:num>
  <w:num w:numId="5">
    <w:abstractNumId w:val="5"/>
  </w:num>
  <w:num w:numId="6">
    <w:abstractNumId w:val="3"/>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ZWVhNGNiN2Q0NGQxYTM5NDI5ZjE1NmI5N2I5NGYifQ=="/>
  </w:docVars>
  <w:rsids>
    <w:rsidRoot w:val="002264AA"/>
    <w:rsid w:val="00011506"/>
    <w:rsid w:val="000125C7"/>
    <w:rsid w:val="00017F08"/>
    <w:rsid w:val="00050B1E"/>
    <w:rsid w:val="000519D9"/>
    <w:rsid w:val="000547EC"/>
    <w:rsid w:val="000710CE"/>
    <w:rsid w:val="00081660"/>
    <w:rsid w:val="0008450C"/>
    <w:rsid w:val="000B36BA"/>
    <w:rsid w:val="000C42E6"/>
    <w:rsid w:val="000C566A"/>
    <w:rsid w:val="000E74A6"/>
    <w:rsid w:val="000F383D"/>
    <w:rsid w:val="00126B22"/>
    <w:rsid w:val="001557B7"/>
    <w:rsid w:val="00164178"/>
    <w:rsid w:val="001A0724"/>
    <w:rsid w:val="001A56A1"/>
    <w:rsid w:val="001B1D6B"/>
    <w:rsid w:val="001D1C9F"/>
    <w:rsid w:val="00204EF9"/>
    <w:rsid w:val="00211DEF"/>
    <w:rsid w:val="00216F6C"/>
    <w:rsid w:val="0022610A"/>
    <w:rsid w:val="002264AA"/>
    <w:rsid w:val="00230761"/>
    <w:rsid w:val="00234BE2"/>
    <w:rsid w:val="0024608C"/>
    <w:rsid w:val="00255C49"/>
    <w:rsid w:val="00260765"/>
    <w:rsid w:val="002607FA"/>
    <w:rsid w:val="002733C2"/>
    <w:rsid w:val="00275EB2"/>
    <w:rsid w:val="00292763"/>
    <w:rsid w:val="002944CA"/>
    <w:rsid w:val="00297F49"/>
    <w:rsid w:val="002A47F6"/>
    <w:rsid w:val="002A4D0B"/>
    <w:rsid w:val="002D3C22"/>
    <w:rsid w:val="00303E75"/>
    <w:rsid w:val="00323D52"/>
    <w:rsid w:val="00337B10"/>
    <w:rsid w:val="00344EC9"/>
    <w:rsid w:val="003611C5"/>
    <w:rsid w:val="00361F91"/>
    <w:rsid w:val="00372B45"/>
    <w:rsid w:val="003B0546"/>
    <w:rsid w:val="003B5D5B"/>
    <w:rsid w:val="003D7BE6"/>
    <w:rsid w:val="003E7D5E"/>
    <w:rsid w:val="003F05EE"/>
    <w:rsid w:val="004032EE"/>
    <w:rsid w:val="00421FAE"/>
    <w:rsid w:val="00447176"/>
    <w:rsid w:val="00451AD4"/>
    <w:rsid w:val="00456936"/>
    <w:rsid w:val="00487DFC"/>
    <w:rsid w:val="00492972"/>
    <w:rsid w:val="00496F39"/>
    <w:rsid w:val="004E0130"/>
    <w:rsid w:val="004E2DC8"/>
    <w:rsid w:val="004E7BE6"/>
    <w:rsid w:val="004F1D62"/>
    <w:rsid w:val="004F2D26"/>
    <w:rsid w:val="00510ABE"/>
    <w:rsid w:val="00512B42"/>
    <w:rsid w:val="00527237"/>
    <w:rsid w:val="005319D6"/>
    <w:rsid w:val="00553EE8"/>
    <w:rsid w:val="00557B55"/>
    <w:rsid w:val="00565971"/>
    <w:rsid w:val="00566007"/>
    <w:rsid w:val="00581364"/>
    <w:rsid w:val="00590B33"/>
    <w:rsid w:val="0059538B"/>
    <w:rsid w:val="005B2924"/>
    <w:rsid w:val="00602192"/>
    <w:rsid w:val="006158DB"/>
    <w:rsid w:val="0061641C"/>
    <w:rsid w:val="00626C56"/>
    <w:rsid w:val="00627B45"/>
    <w:rsid w:val="006324E6"/>
    <w:rsid w:val="00673E4F"/>
    <w:rsid w:val="00685C68"/>
    <w:rsid w:val="00685E31"/>
    <w:rsid w:val="00694A2A"/>
    <w:rsid w:val="006C588D"/>
    <w:rsid w:val="006D2788"/>
    <w:rsid w:val="006E1E19"/>
    <w:rsid w:val="00713776"/>
    <w:rsid w:val="007261ED"/>
    <w:rsid w:val="00732C40"/>
    <w:rsid w:val="007452FF"/>
    <w:rsid w:val="00777836"/>
    <w:rsid w:val="00781753"/>
    <w:rsid w:val="00785F3D"/>
    <w:rsid w:val="007A4F2D"/>
    <w:rsid w:val="007A775E"/>
    <w:rsid w:val="007A7FCD"/>
    <w:rsid w:val="007B08CB"/>
    <w:rsid w:val="007B64F2"/>
    <w:rsid w:val="007C42D1"/>
    <w:rsid w:val="007E4F45"/>
    <w:rsid w:val="007E58A7"/>
    <w:rsid w:val="008024AD"/>
    <w:rsid w:val="008156FF"/>
    <w:rsid w:val="00821855"/>
    <w:rsid w:val="008221F2"/>
    <w:rsid w:val="008228AD"/>
    <w:rsid w:val="00836CB1"/>
    <w:rsid w:val="0084128B"/>
    <w:rsid w:val="00847C0D"/>
    <w:rsid w:val="0085524B"/>
    <w:rsid w:val="00863396"/>
    <w:rsid w:val="008E5767"/>
    <w:rsid w:val="008F2642"/>
    <w:rsid w:val="008F63B0"/>
    <w:rsid w:val="00965881"/>
    <w:rsid w:val="00973627"/>
    <w:rsid w:val="00975668"/>
    <w:rsid w:val="0098165D"/>
    <w:rsid w:val="009B01E5"/>
    <w:rsid w:val="009D6949"/>
    <w:rsid w:val="00A0427E"/>
    <w:rsid w:val="00A1393F"/>
    <w:rsid w:val="00A20F3E"/>
    <w:rsid w:val="00A27B13"/>
    <w:rsid w:val="00A32285"/>
    <w:rsid w:val="00A46001"/>
    <w:rsid w:val="00A75157"/>
    <w:rsid w:val="00A81394"/>
    <w:rsid w:val="00A876CF"/>
    <w:rsid w:val="00AA5D04"/>
    <w:rsid w:val="00AB0FA5"/>
    <w:rsid w:val="00AB1682"/>
    <w:rsid w:val="00AB50E0"/>
    <w:rsid w:val="00AC1460"/>
    <w:rsid w:val="00AC3CD4"/>
    <w:rsid w:val="00AE3D1E"/>
    <w:rsid w:val="00B06468"/>
    <w:rsid w:val="00B26108"/>
    <w:rsid w:val="00B326A2"/>
    <w:rsid w:val="00B33C54"/>
    <w:rsid w:val="00B520D2"/>
    <w:rsid w:val="00B606A2"/>
    <w:rsid w:val="00B60990"/>
    <w:rsid w:val="00B62C6C"/>
    <w:rsid w:val="00B64393"/>
    <w:rsid w:val="00B6491E"/>
    <w:rsid w:val="00B911F0"/>
    <w:rsid w:val="00BA5098"/>
    <w:rsid w:val="00BD1EC6"/>
    <w:rsid w:val="00BD6748"/>
    <w:rsid w:val="00BE1B80"/>
    <w:rsid w:val="00BE4003"/>
    <w:rsid w:val="00C00FDB"/>
    <w:rsid w:val="00C215C2"/>
    <w:rsid w:val="00C222A6"/>
    <w:rsid w:val="00C41110"/>
    <w:rsid w:val="00C505E0"/>
    <w:rsid w:val="00C56FED"/>
    <w:rsid w:val="00C6313F"/>
    <w:rsid w:val="00C678DB"/>
    <w:rsid w:val="00CB2A1C"/>
    <w:rsid w:val="00D0574E"/>
    <w:rsid w:val="00D05FB6"/>
    <w:rsid w:val="00D15ED1"/>
    <w:rsid w:val="00D37D82"/>
    <w:rsid w:val="00D40A23"/>
    <w:rsid w:val="00D41D50"/>
    <w:rsid w:val="00D45BAF"/>
    <w:rsid w:val="00D54996"/>
    <w:rsid w:val="00D57486"/>
    <w:rsid w:val="00D62D3A"/>
    <w:rsid w:val="00D73476"/>
    <w:rsid w:val="00D8177B"/>
    <w:rsid w:val="00D93A48"/>
    <w:rsid w:val="00D94230"/>
    <w:rsid w:val="00DA7649"/>
    <w:rsid w:val="00DD4D64"/>
    <w:rsid w:val="00DD51BC"/>
    <w:rsid w:val="00DF676A"/>
    <w:rsid w:val="00E106C9"/>
    <w:rsid w:val="00E465A8"/>
    <w:rsid w:val="00E5098D"/>
    <w:rsid w:val="00E55160"/>
    <w:rsid w:val="00E60122"/>
    <w:rsid w:val="00E602B7"/>
    <w:rsid w:val="00E81D5C"/>
    <w:rsid w:val="00EB4DA0"/>
    <w:rsid w:val="00F139E5"/>
    <w:rsid w:val="00F17CC5"/>
    <w:rsid w:val="00F2312E"/>
    <w:rsid w:val="00F40EB9"/>
    <w:rsid w:val="00F668F9"/>
    <w:rsid w:val="00FB020B"/>
    <w:rsid w:val="00FC2D9C"/>
    <w:rsid w:val="00FF35FF"/>
    <w:rsid w:val="012E69FA"/>
    <w:rsid w:val="015A163A"/>
    <w:rsid w:val="01DA343F"/>
    <w:rsid w:val="037F0B26"/>
    <w:rsid w:val="05333456"/>
    <w:rsid w:val="059503E5"/>
    <w:rsid w:val="05D709B3"/>
    <w:rsid w:val="06710E08"/>
    <w:rsid w:val="07C20BED"/>
    <w:rsid w:val="08FD6983"/>
    <w:rsid w:val="0A7753AE"/>
    <w:rsid w:val="0BDF2CAF"/>
    <w:rsid w:val="0BF00DA4"/>
    <w:rsid w:val="0C622A57"/>
    <w:rsid w:val="0EF02652"/>
    <w:rsid w:val="0FFD6BE5"/>
    <w:rsid w:val="126A0881"/>
    <w:rsid w:val="129544B2"/>
    <w:rsid w:val="139C0D9D"/>
    <w:rsid w:val="13E44EDE"/>
    <w:rsid w:val="19530D66"/>
    <w:rsid w:val="19BC5BE6"/>
    <w:rsid w:val="19DC576F"/>
    <w:rsid w:val="1A355C22"/>
    <w:rsid w:val="1A5F06D7"/>
    <w:rsid w:val="1B09545F"/>
    <w:rsid w:val="1C7C757C"/>
    <w:rsid w:val="1DBB4EF2"/>
    <w:rsid w:val="1DBC650F"/>
    <w:rsid w:val="1E4F1A12"/>
    <w:rsid w:val="206F557C"/>
    <w:rsid w:val="21CA6472"/>
    <w:rsid w:val="22AA393E"/>
    <w:rsid w:val="23276141"/>
    <w:rsid w:val="24161FB7"/>
    <w:rsid w:val="2458229A"/>
    <w:rsid w:val="2464469F"/>
    <w:rsid w:val="24C25007"/>
    <w:rsid w:val="25043F40"/>
    <w:rsid w:val="25ED784B"/>
    <w:rsid w:val="25F11009"/>
    <w:rsid w:val="262A7ACF"/>
    <w:rsid w:val="271D349F"/>
    <w:rsid w:val="277C62E7"/>
    <w:rsid w:val="2B2963D3"/>
    <w:rsid w:val="2E095F27"/>
    <w:rsid w:val="2E287082"/>
    <w:rsid w:val="2E6E18BF"/>
    <w:rsid w:val="2E884201"/>
    <w:rsid w:val="2F2C5770"/>
    <w:rsid w:val="2F535254"/>
    <w:rsid w:val="31576997"/>
    <w:rsid w:val="315E1161"/>
    <w:rsid w:val="331367BC"/>
    <w:rsid w:val="34EE008B"/>
    <w:rsid w:val="352B33FC"/>
    <w:rsid w:val="35805CB4"/>
    <w:rsid w:val="36CA3141"/>
    <w:rsid w:val="37C130EE"/>
    <w:rsid w:val="38593614"/>
    <w:rsid w:val="39301A51"/>
    <w:rsid w:val="3A4103F8"/>
    <w:rsid w:val="3BF15DAC"/>
    <w:rsid w:val="3D6A45ED"/>
    <w:rsid w:val="3DA4759C"/>
    <w:rsid w:val="3DFE745B"/>
    <w:rsid w:val="3E2B711B"/>
    <w:rsid w:val="3E2D1012"/>
    <w:rsid w:val="3E48145F"/>
    <w:rsid w:val="3F734081"/>
    <w:rsid w:val="409018AF"/>
    <w:rsid w:val="40E94034"/>
    <w:rsid w:val="412709D8"/>
    <w:rsid w:val="41627833"/>
    <w:rsid w:val="416D419A"/>
    <w:rsid w:val="421443FB"/>
    <w:rsid w:val="427239F0"/>
    <w:rsid w:val="433472CD"/>
    <w:rsid w:val="43426C26"/>
    <w:rsid w:val="44C60E76"/>
    <w:rsid w:val="44E76487"/>
    <w:rsid w:val="4535060E"/>
    <w:rsid w:val="469B3D4F"/>
    <w:rsid w:val="473A03ED"/>
    <w:rsid w:val="49B25227"/>
    <w:rsid w:val="4AF316F8"/>
    <w:rsid w:val="4B863339"/>
    <w:rsid w:val="4BA42333"/>
    <w:rsid w:val="4CEE1CF2"/>
    <w:rsid w:val="4D25098E"/>
    <w:rsid w:val="4D77632F"/>
    <w:rsid w:val="4E7C3473"/>
    <w:rsid w:val="4FB81DC2"/>
    <w:rsid w:val="501778F7"/>
    <w:rsid w:val="50CF0D56"/>
    <w:rsid w:val="51BB05BF"/>
    <w:rsid w:val="52C021AE"/>
    <w:rsid w:val="533613EF"/>
    <w:rsid w:val="5371335C"/>
    <w:rsid w:val="5389510F"/>
    <w:rsid w:val="54643684"/>
    <w:rsid w:val="54BD39A2"/>
    <w:rsid w:val="56E97E3E"/>
    <w:rsid w:val="59A549DC"/>
    <w:rsid w:val="5BB838A1"/>
    <w:rsid w:val="5CDE5CFF"/>
    <w:rsid w:val="5CF501E7"/>
    <w:rsid w:val="5E4E4400"/>
    <w:rsid w:val="5E5E67D4"/>
    <w:rsid w:val="5EAC2763"/>
    <w:rsid w:val="60BA47AE"/>
    <w:rsid w:val="61E26848"/>
    <w:rsid w:val="63B05371"/>
    <w:rsid w:val="63D92820"/>
    <w:rsid w:val="63E1229E"/>
    <w:rsid w:val="64917820"/>
    <w:rsid w:val="6688474A"/>
    <w:rsid w:val="67C41429"/>
    <w:rsid w:val="685F15E7"/>
    <w:rsid w:val="690540BF"/>
    <w:rsid w:val="698F11EF"/>
    <w:rsid w:val="699B0761"/>
    <w:rsid w:val="6A0856B9"/>
    <w:rsid w:val="6A664098"/>
    <w:rsid w:val="6A6F59AC"/>
    <w:rsid w:val="6C146FEA"/>
    <w:rsid w:val="6CE12E64"/>
    <w:rsid w:val="6CEA0C57"/>
    <w:rsid w:val="6D024D8C"/>
    <w:rsid w:val="6ECC7A0D"/>
    <w:rsid w:val="709F0097"/>
    <w:rsid w:val="70EA395C"/>
    <w:rsid w:val="71C45194"/>
    <w:rsid w:val="7397006E"/>
    <w:rsid w:val="740D6797"/>
    <w:rsid w:val="748B756C"/>
    <w:rsid w:val="75CC49D7"/>
    <w:rsid w:val="76C539AC"/>
    <w:rsid w:val="77C35AEB"/>
    <w:rsid w:val="79715BD1"/>
    <w:rsid w:val="7A5944E4"/>
    <w:rsid w:val="7C3A20F4"/>
    <w:rsid w:val="7CA25B04"/>
    <w:rsid w:val="7DD03920"/>
    <w:rsid w:val="7DF33D62"/>
    <w:rsid w:val="7ED90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5"/>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6">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8">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9">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0">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1">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2">
    <w:name w:val="Document Map"/>
    <w:basedOn w:val="1"/>
    <w:link w:val="202"/>
    <w:qFormat/>
    <w:uiPriority w:val="0"/>
    <w:rPr>
      <w:rFonts w:ascii="宋体" w:hAnsi="Times New Roman" w:eastAsia="宋体" w:cs="Times New Roman"/>
      <w:sz w:val="18"/>
      <w:szCs w:val="18"/>
    </w:rPr>
  </w:style>
  <w:style w:type="paragraph" w:styleId="13">
    <w:name w:val="annotation text"/>
    <w:basedOn w:val="1"/>
    <w:link w:val="125"/>
    <w:semiHidden/>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4">
    <w:name w:val="Body Text 3"/>
    <w:basedOn w:val="1"/>
    <w:link w:val="175"/>
    <w:qFormat/>
    <w:uiPriority w:val="0"/>
    <w:rPr>
      <w:rFonts w:ascii="Times New Roman" w:hAnsi="Times New Roman" w:eastAsia="宋体" w:cs="Times New Roman"/>
      <w:sz w:val="48"/>
      <w:szCs w:val="48"/>
    </w:rPr>
  </w:style>
  <w:style w:type="paragraph" w:styleId="15">
    <w:name w:val="Body Text"/>
    <w:basedOn w:val="1"/>
    <w:link w:val="102"/>
    <w:qFormat/>
    <w:uiPriority w:val="0"/>
    <w:pPr>
      <w:spacing w:after="120"/>
    </w:pPr>
    <w:rPr>
      <w:rFonts w:ascii="Times New Roman" w:hAnsi="Times New Roman" w:eastAsia="宋体" w:cs="Times New Roman"/>
      <w:szCs w:val="20"/>
    </w:rPr>
  </w:style>
  <w:style w:type="paragraph" w:styleId="16">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7">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8">
    <w:name w:val="Plain Text"/>
    <w:basedOn w:val="1"/>
    <w:link w:val="51"/>
    <w:qFormat/>
    <w:uiPriority w:val="0"/>
    <w:rPr>
      <w:rFonts w:ascii="宋体" w:hAnsi="Courier New" w:eastAsia="宋体" w:cs="Times New Roman"/>
      <w:szCs w:val="20"/>
    </w:rPr>
  </w:style>
  <w:style w:type="paragraph" w:styleId="19">
    <w:name w:val="Date"/>
    <w:basedOn w:val="1"/>
    <w:next w:val="1"/>
    <w:link w:val="52"/>
    <w:qFormat/>
    <w:uiPriority w:val="0"/>
    <w:rPr>
      <w:rFonts w:ascii="宋体" w:hAnsi="Times New Roman" w:eastAsia="宋体" w:cs="Times New Roman"/>
      <w:b/>
      <w:sz w:val="36"/>
      <w:szCs w:val="20"/>
    </w:rPr>
  </w:style>
  <w:style w:type="paragraph" w:styleId="20">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1">
    <w:name w:val="Balloon Text"/>
    <w:basedOn w:val="1"/>
    <w:link w:val="110"/>
    <w:semiHidden/>
    <w:qFormat/>
    <w:uiPriority w:val="0"/>
    <w:rPr>
      <w:rFonts w:ascii="Times New Roman" w:hAnsi="Times New Roman" w:eastAsia="宋体" w:cs="Times New Roman"/>
      <w:sz w:val="18"/>
      <w:szCs w:val="18"/>
    </w:rPr>
  </w:style>
  <w:style w:type="paragraph" w:styleId="22">
    <w:name w:val="footer"/>
    <w:basedOn w:val="1"/>
    <w:link w:val="40"/>
    <w:unhideWhenUsed/>
    <w:qFormat/>
    <w:uiPriority w:val="99"/>
    <w:pPr>
      <w:tabs>
        <w:tab w:val="center" w:pos="4153"/>
        <w:tab w:val="right" w:pos="8306"/>
      </w:tabs>
      <w:snapToGrid w:val="0"/>
      <w:jc w:val="left"/>
    </w:pPr>
    <w:rPr>
      <w:sz w:val="18"/>
      <w:szCs w:val="18"/>
    </w:rPr>
  </w:style>
  <w:style w:type="paragraph" w:styleId="23">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5">
    <w:name w:val="List"/>
    <w:basedOn w:val="1"/>
    <w:qFormat/>
    <w:uiPriority w:val="0"/>
    <w:pPr>
      <w:ind w:left="200" w:hanging="200" w:hangingChars="200"/>
    </w:pPr>
    <w:rPr>
      <w:rFonts w:ascii="Times New Roman" w:hAnsi="Times New Roman" w:eastAsia="宋体" w:cs="Times New Roman"/>
      <w:szCs w:val="20"/>
    </w:rPr>
  </w:style>
  <w:style w:type="paragraph" w:styleId="26">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7">
    <w:name w:val="Body Text 2"/>
    <w:basedOn w:val="1"/>
    <w:link w:val="105"/>
    <w:qFormat/>
    <w:uiPriority w:val="0"/>
    <w:pPr>
      <w:jc w:val="center"/>
    </w:pPr>
    <w:rPr>
      <w:rFonts w:ascii="楷体_GB2312" w:hAnsi="Times New Roman" w:eastAsia="楷体_GB2312" w:cs="Times New Roman"/>
      <w:b/>
      <w:sz w:val="72"/>
      <w:szCs w:val="20"/>
    </w:rPr>
  </w:style>
  <w:style w:type="paragraph" w:styleId="28">
    <w:name w:val="HTML Preformatted"/>
    <w:basedOn w:val="1"/>
    <w:link w:val="20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29">
    <w:name w:val="Title"/>
    <w:basedOn w:val="1"/>
    <w:link w:val="132"/>
    <w:qFormat/>
    <w:uiPriority w:val="0"/>
    <w:pPr>
      <w:spacing w:before="240" w:after="60"/>
      <w:jc w:val="center"/>
      <w:outlineLvl w:val="0"/>
    </w:pPr>
    <w:rPr>
      <w:rFonts w:ascii="Arial" w:hAnsi="Arial" w:eastAsia="黑体" w:cs="Times New Roman"/>
      <w:b/>
      <w:sz w:val="36"/>
      <w:szCs w:val="20"/>
    </w:rPr>
  </w:style>
  <w:style w:type="paragraph" w:styleId="30">
    <w:name w:val="annotation subject"/>
    <w:basedOn w:val="13"/>
    <w:next w:val="13"/>
    <w:link w:val="176"/>
    <w:qFormat/>
    <w:uiPriority w:val="0"/>
    <w:pPr>
      <w:adjustRightInd/>
      <w:spacing w:line="240" w:lineRule="auto"/>
      <w:textAlignment w:val="auto"/>
    </w:pPr>
    <w:rPr>
      <w:b/>
      <w:bCs/>
      <w:kern w:val="2"/>
      <w:sz w:val="21"/>
      <w:szCs w:val="24"/>
    </w:rPr>
  </w:style>
  <w:style w:type="table" w:styleId="32">
    <w:name w:val="Table Grid"/>
    <w:basedOn w:val="31"/>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page number"/>
    <w:basedOn w:val="33"/>
    <w:qFormat/>
    <w:uiPriority w:val="0"/>
  </w:style>
  <w:style w:type="character" w:styleId="35">
    <w:name w:val="FollowedHyperlink"/>
    <w:basedOn w:val="33"/>
    <w:semiHidden/>
    <w:unhideWhenUsed/>
    <w:qFormat/>
    <w:uiPriority w:val="99"/>
    <w:rPr>
      <w:color w:val="954F72" w:themeColor="followedHyperlink"/>
      <w:u w:val="single"/>
      <w14:textFill>
        <w14:solidFill>
          <w14:schemeClr w14:val="folHlink"/>
        </w14:solidFill>
      </w14:textFill>
    </w:rPr>
  </w:style>
  <w:style w:type="character" w:styleId="36">
    <w:name w:val="Emphasis"/>
    <w:basedOn w:val="33"/>
    <w:qFormat/>
    <w:uiPriority w:val="20"/>
    <w:rPr>
      <w:i/>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3"/>
    <w:link w:val="23"/>
    <w:qFormat/>
    <w:uiPriority w:val="99"/>
    <w:rPr>
      <w:sz w:val="18"/>
      <w:szCs w:val="18"/>
    </w:rPr>
  </w:style>
  <w:style w:type="character" w:customStyle="1" w:styleId="40">
    <w:name w:val="页脚 Char1"/>
    <w:basedOn w:val="33"/>
    <w:link w:val="22"/>
    <w:qFormat/>
    <w:uiPriority w:val="99"/>
    <w:rPr>
      <w:sz w:val="18"/>
      <w:szCs w:val="18"/>
    </w:rPr>
  </w:style>
  <w:style w:type="character" w:customStyle="1" w:styleId="41">
    <w:name w:val="标题 1 Char"/>
    <w:basedOn w:val="33"/>
    <w:link w:val="2"/>
    <w:qFormat/>
    <w:uiPriority w:val="0"/>
    <w:rPr>
      <w:rFonts w:ascii="Times New Roman" w:hAnsi="Times New Roman" w:eastAsia="宋体" w:cs="Times New Roman"/>
      <w:b/>
      <w:kern w:val="44"/>
      <w:sz w:val="44"/>
      <w:szCs w:val="20"/>
    </w:rPr>
  </w:style>
  <w:style w:type="character" w:customStyle="1" w:styleId="42">
    <w:name w:val="标题 2 Char"/>
    <w:basedOn w:val="33"/>
    <w:link w:val="3"/>
    <w:qFormat/>
    <w:uiPriority w:val="0"/>
    <w:rPr>
      <w:rFonts w:ascii="Arial" w:hAnsi="Arial" w:eastAsia="黑体" w:cs="Times New Roman"/>
      <w:b/>
      <w:bCs/>
      <w:sz w:val="32"/>
      <w:szCs w:val="32"/>
    </w:rPr>
  </w:style>
  <w:style w:type="character" w:customStyle="1" w:styleId="43">
    <w:name w:val="标题 3 Char"/>
    <w:basedOn w:val="33"/>
    <w:link w:val="4"/>
    <w:qFormat/>
    <w:uiPriority w:val="0"/>
    <w:rPr>
      <w:rFonts w:ascii="Times New Roman" w:hAnsi="Times New Roman" w:eastAsia="宋体" w:cs="Times New Roman"/>
      <w:b/>
      <w:sz w:val="32"/>
      <w:szCs w:val="20"/>
    </w:rPr>
  </w:style>
  <w:style w:type="character" w:customStyle="1" w:styleId="44">
    <w:name w:val="标题 4 Char"/>
    <w:basedOn w:val="33"/>
    <w:link w:val="6"/>
    <w:qFormat/>
    <w:uiPriority w:val="0"/>
    <w:rPr>
      <w:rFonts w:ascii="Arial" w:hAnsi="Arial" w:eastAsia="黑体" w:cs="Times New Roman"/>
      <w:b/>
      <w:bCs/>
      <w:sz w:val="28"/>
      <w:szCs w:val="28"/>
    </w:rPr>
  </w:style>
  <w:style w:type="character" w:customStyle="1" w:styleId="45">
    <w:name w:val="标题 5 Char"/>
    <w:basedOn w:val="33"/>
    <w:link w:val="7"/>
    <w:qFormat/>
    <w:uiPriority w:val="0"/>
    <w:rPr>
      <w:rFonts w:ascii="Times New Roman" w:hAnsi="Times New Roman" w:eastAsia="宋体" w:cs="Times New Roman"/>
      <w:b/>
      <w:bCs/>
      <w:sz w:val="28"/>
      <w:szCs w:val="28"/>
    </w:rPr>
  </w:style>
  <w:style w:type="character" w:customStyle="1" w:styleId="46">
    <w:name w:val="标题 6 Char"/>
    <w:basedOn w:val="33"/>
    <w:link w:val="8"/>
    <w:qFormat/>
    <w:uiPriority w:val="0"/>
    <w:rPr>
      <w:rFonts w:ascii="Arial" w:hAnsi="Arial" w:eastAsia="黑体" w:cs="Times New Roman"/>
      <w:b/>
      <w:bCs/>
      <w:sz w:val="24"/>
      <w:szCs w:val="24"/>
    </w:rPr>
  </w:style>
  <w:style w:type="character" w:customStyle="1" w:styleId="47">
    <w:name w:val="标题 7 Char"/>
    <w:basedOn w:val="33"/>
    <w:link w:val="9"/>
    <w:qFormat/>
    <w:uiPriority w:val="0"/>
    <w:rPr>
      <w:rFonts w:ascii="Times New Roman" w:hAnsi="Times New Roman" w:eastAsia="宋体" w:cs="Times New Roman"/>
      <w:b/>
      <w:bCs/>
      <w:sz w:val="24"/>
      <w:szCs w:val="24"/>
    </w:rPr>
  </w:style>
  <w:style w:type="character" w:customStyle="1" w:styleId="48">
    <w:name w:val="标题 8 Char"/>
    <w:basedOn w:val="33"/>
    <w:link w:val="10"/>
    <w:qFormat/>
    <w:uiPriority w:val="0"/>
    <w:rPr>
      <w:rFonts w:ascii="Arial" w:hAnsi="Arial" w:eastAsia="黑体" w:cs="Times New Roman"/>
      <w:sz w:val="24"/>
      <w:szCs w:val="24"/>
    </w:rPr>
  </w:style>
  <w:style w:type="character" w:customStyle="1" w:styleId="49">
    <w:name w:val="标题 9 Char"/>
    <w:basedOn w:val="33"/>
    <w:link w:val="11"/>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3"/>
    <w:link w:val="18"/>
    <w:qFormat/>
    <w:uiPriority w:val="0"/>
    <w:rPr>
      <w:rFonts w:ascii="宋体" w:hAnsi="Courier New" w:eastAsia="宋体" w:cs="Times New Roman"/>
      <w:szCs w:val="20"/>
    </w:rPr>
  </w:style>
  <w:style w:type="character" w:customStyle="1" w:styleId="52">
    <w:name w:val="日期 Char"/>
    <w:basedOn w:val="33"/>
    <w:link w:val="19"/>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qFormat/>
    <w:uiPriority w:val="34"/>
    <w:pPr>
      <w:ind w:firstLine="420" w:firstLineChars="200"/>
    </w:pPr>
  </w:style>
  <w:style w:type="paragraph" w:customStyle="1" w:styleId="55">
    <w:name w:val="itb"/>
    <w:basedOn w:val="4"/>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3"/>
    <w:link w:val="15"/>
    <w:qFormat/>
    <w:uiPriority w:val="0"/>
    <w:rPr>
      <w:rFonts w:ascii="Times New Roman" w:hAnsi="Times New Roman" w:eastAsia="宋体" w:cs="Times New Roman"/>
      <w:szCs w:val="20"/>
    </w:rPr>
  </w:style>
  <w:style w:type="character" w:customStyle="1" w:styleId="103">
    <w:name w:val="正文文本缩进 Char"/>
    <w:basedOn w:val="33"/>
    <w:link w:val="16"/>
    <w:qFormat/>
    <w:uiPriority w:val="0"/>
    <w:rPr>
      <w:rFonts w:ascii="Times New Roman" w:hAnsi="Times New Roman" w:eastAsia="宋体" w:cs="Times New Roman"/>
      <w:szCs w:val="20"/>
    </w:rPr>
  </w:style>
  <w:style w:type="character" w:customStyle="1" w:styleId="104">
    <w:name w:val="副标题 Char"/>
    <w:basedOn w:val="33"/>
    <w:link w:val="24"/>
    <w:qFormat/>
    <w:uiPriority w:val="0"/>
    <w:rPr>
      <w:rFonts w:ascii="Arial" w:hAnsi="Arial" w:eastAsia="宋体" w:cs="Arial"/>
      <w:b/>
      <w:bCs/>
      <w:kern w:val="28"/>
      <w:sz w:val="32"/>
      <w:szCs w:val="32"/>
    </w:rPr>
  </w:style>
  <w:style w:type="character" w:customStyle="1" w:styleId="105">
    <w:name w:val="正文文本 2 Char"/>
    <w:basedOn w:val="33"/>
    <w:link w:val="27"/>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3"/>
    <w:link w:val="20"/>
    <w:qFormat/>
    <w:uiPriority w:val="0"/>
    <w:rPr>
      <w:rFonts w:ascii="华文仿宋" w:hAnsi="华文仿宋" w:eastAsia="华文仿宋" w:cs="Times New Roman"/>
      <w:sz w:val="32"/>
      <w:szCs w:val="20"/>
    </w:rPr>
  </w:style>
  <w:style w:type="character" w:customStyle="1" w:styleId="110">
    <w:name w:val="批注框文本 Char"/>
    <w:basedOn w:val="33"/>
    <w:link w:val="21"/>
    <w:semiHidden/>
    <w:qFormat/>
    <w:uiPriority w:val="0"/>
    <w:rPr>
      <w:rFonts w:ascii="Times New Roman" w:hAnsi="Times New Roman" w:eastAsia="宋体" w:cs="Times New Roman"/>
      <w:sz w:val="18"/>
      <w:szCs w:val="18"/>
    </w:rPr>
  </w:style>
  <w:style w:type="character" w:customStyle="1" w:styleId="111">
    <w:name w:val="正文文本缩进 3 Char"/>
    <w:basedOn w:val="33"/>
    <w:link w:val="26"/>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3"/>
    <w:link w:val="13"/>
    <w:semiHidden/>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3"/>
    <w:link w:val="29"/>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
    <w:qFormat/>
    <w:uiPriority w:val="0"/>
    <w:rPr>
      <w:rFonts w:ascii="Times New Roman" w:hAnsi="Times New Roman" w:cs="Times New Roman"/>
      <w:b/>
      <w:bCs/>
      <w:kern w:val="44"/>
      <w:sz w:val="44"/>
      <w:szCs w:val="44"/>
    </w:rPr>
  </w:style>
  <w:style w:type="character" w:customStyle="1" w:styleId="138">
    <w:name w:val="Heading 2 Char"/>
    <w:qFormat/>
    <w:uiPriority w:val="0"/>
    <w:rPr>
      <w:rFonts w:ascii="Cambria" w:hAnsi="Cambria" w:eastAsia="宋体" w:cs="Cambria"/>
      <w:b/>
      <w:bCs/>
      <w:sz w:val="32"/>
      <w:szCs w:val="32"/>
    </w:rPr>
  </w:style>
  <w:style w:type="character" w:customStyle="1" w:styleId="139">
    <w:name w:val="Heading 3 Char"/>
    <w:qFormat/>
    <w:uiPriority w:val="0"/>
    <w:rPr>
      <w:rFonts w:ascii="Times New Roman" w:hAnsi="Times New Roman" w:cs="Times New Roman"/>
      <w:b/>
      <w:bCs/>
      <w:sz w:val="32"/>
      <w:szCs w:val="32"/>
    </w:rPr>
  </w:style>
  <w:style w:type="character" w:customStyle="1" w:styleId="140">
    <w:name w:val="Heading 4 Char"/>
    <w:qFormat/>
    <w:uiPriority w:val="0"/>
    <w:rPr>
      <w:rFonts w:ascii="Cambria" w:hAnsi="Cambria" w:eastAsia="宋体" w:cs="Cambria"/>
      <w:b/>
      <w:bCs/>
      <w:sz w:val="28"/>
      <w:szCs w:val="28"/>
    </w:rPr>
  </w:style>
  <w:style w:type="character" w:customStyle="1" w:styleId="141">
    <w:name w:val="Heading 5 Char"/>
    <w:qFormat/>
    <w:uiPriority w:val="0"/>
    <w:rPr>
      <w:rFonts w:ascii="Times New Roman" w:hAnsi="Times New Roman" w:cs="Times New Roman"/>
      <w:b/>
      <w:bCs/>
      <w:sz w:val="28"/>
      <w:szCs w:val="28"/>
    </w:rPr>
  </w:style>
  <w:style w:type="character" w:customStyle="1" w:styleId="142">
    <w:name w:val="Heading 6 Char"/>
    <w:qFormat/>
    <w:uiPriority w:val="0"/>
    <w:rPr>
      <w:rFonts w:ascii="Cambria" w:hAnsi="Cambria" w:eastAsia="宋体" w:cs="Cambria"/>
      <w:b/>
      <w:bCs/>
      <w:sz w:val="24"/>
      <w:szCs w:val="24"/>
    </w:rPr>
  </w:style>
  <w:style w:type="character" w:customStyle="1" w:styleId="143">
    <w:name w:val="Heading 7 Char"/>
    <w:qFormat/>
    <w:uiPriority w:val="0"/>
    <w:rPr>
      <w:rFonts w:ascii="Times New Roman" w:hAnsi="Times New Roman" w:cs="Times New Roman"/>
      <w:b/>
      <w:bCs/>
      <w:sz w:val="24"/>
      <w:szCs w:val="24"/>
    </w:rPr>
  </w:style>
  <w:style w:type="character" w:customStyle="1" w:styleId="144">
    <w:name w:val="Heading 8 Char"/>
    <w:qFormat/>
    <w:uiPriority w:val="0"/>
    <w:rPr>
      <w:rFonts w:ascii="Cambria" w:hAnsi="Cambria" w:eastAsia="宋体" w:cs="Cambria"/>
      <w:sz w:val="24"/>
      <w:szCs w:val="24"/>
    </w:rPr>
  </w:style>
  <w:style w:type="character" w:customStyle="1" w:styleId="145">
    <w:name w:val="Heading 9 Char"/>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15"/>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cs="宋体"/>
      <w:kern w:val="0"/>
      <w:sz w:val="20"/>
      <w:szCs w:val="20"/>
    </w:rPr>
  </w:style>
  <w:style w:type="character" w:customStyle="1" w:styleId="175">
    <w:name w:val="正文文本 3 Char"/>
    <w:basedOn w:val="33"/>
    <w:link w:val="14"/>
    <w:qFormat/>
    <w:uiPriority w:val="0"/>
    <w:rPr>
      <w:rFonts w:ascii="Times New Roman" w:hAnsi="Times New Roman" w:eastAsia="宋体" w:cs="Times New Roman"/>
      <w:sz w:val="48"/>
      <w:szCs w:val="48"/>
    </w:rPr>
  </w:style>
  <w:style w:type="character" w:customStyle="1" w:styleId="176">
    <w:name w:val="批注主题 Char"/>
    <w:basedOn w:val="125"/>
    <w:link w:val="30"/>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cs="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3"/>
    <w:semiHidden/>
    <w:qFormat/>
    <w:uiPriority w:val="99"/>
    <w:rPr>
      <w:rFonts w:ascii="Microsoft YaHei UI" w:eastAsia="Microsoft YaHei UI"/>
      <w:sz w:val="18"/>
      <w:szCs w:val="18"/>
    </w:rPr>
  </w:style>
  <w:style w:type="character" w:customStyle="1" w:styleId="202">
    <w:name w:val="文档结构图 Char"/>
    <w:link w:val="12"/>
    <w:qFormat/>
    <w:uiPriority w:val="0"/>
    <w:rPr>
      <w:rFonts w:ascii="宋体" w:hAnsi="Times New Roman" w:eastAsia="宋体" w:cs="Times New Roman"/>
      <w:sz w:val="18"/>
      <w:szCs w:val="18"/>
    </w:rPr>
  </w:style>
  <w:style w:type="character" w:customStyle="1" w:styleId="203">
    <w:name w:val="HTML 预设格式 字符"/>
    <w:basedOn w:val="33"/>
    <w:semiHidden/>
    <w:qFormat/>
    <w:uiPriority w:val="99"/>
    <w:rPr>
      <w:rFonts w:ascii="Courier New" w:hAnsi="Courier New" w:cs="Courier New"/>
      <w:sz w:val="20"/>
      <w:szCs w:val="20"/>
    </w:rPr>
  </w:style>
  <w:style w:type="character" w:customStyle="1" w:styleId="204">
    <w:name w:val="HTML 预设格式 Char"/>
    <w:link w:val="28"/>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character" w:customStyle="1" w:styleId="209">
    <w:name w:val="NormalCharacter"/>
    <w:qFormat/>
    <w:uiPriority w:val="0"/>
    <w:rPr>
      <w:rFonts w:ascii="Times New Roman" w:hAnsi="Times New Roman" w:eastAsia="宋体"/>
    </w:rPr>
  </w:style>
  <w:style w:type="paragraph" w:customStyle="1" w:styleId="210">
    <w:name w:val="Table Paragraph"/>
    <w:basedOn w:val="1"/>
    <w:qFormat/>
    <w:uiPriority w:val="1"/>
  </w:style>
  <w:style w:type="character" w:customStyle="1" w:styleId="211">
    <w:name w:val="fontstyle01"/>
    <w:basedOn w:val="33"/>
    <w:qFormat/>
    <w:uiPriority w:val="0"/>
    <w:rPr>
      <w:rFonts w:hint="eastAsia" w:ascii="宋体" w:hAnsi="宋体" w:eastAsia="宋体"/>
      <w:color w:val="000000"/>
      <w:sz w:val="18"/>
      <w:szCs w:val="18"/>
    </w:rPr>
  </w:style>
  <w:style w:type="character" w:customStyle="1" w:styleId="212">
    <w:name w:val="fontstyle21"/>
    <w:basedOn w:val="33"/>
    <w:qFormat/>
    <w:uiPriority w:val="0"/>
    <w:rPr>
      <w:rFonts w:hint="default" w:ascii="TimesNewRomanPSMT" w:hAnsi="TimesNewRomanPSMT"/>
      <w:color w:val="000000"/>
      <w:sz w:val="18"/>
      <w:szCs w:val="18"/>
    </w:rPr>
  </w:style>
  <w:style w:type="character" w:customStyle="1" w:styleId="213">
    <w:name w:val="font21"/>
    <w:basedOn w:val="33"/>
    <w:qFormat/>
    <w:uiPriority w:val="0"/>
    <w:rPr>
      <w:rFonts w:hint="eastAsia" w:ascii="微软雅黑" w:hAnsi="微软雅黑" w:eastAsia="微软雅黑" w:cs="微软雅黑"/>
      <w:color w:val="000000"/>
      <w:sz w:val="20"/>
      <w:szCs w:val="20"/>
      <w:u w:val="none"/>
    </w:rPr>
  </w:style>
  <w:style w:type="character" w:customStyle="1" w:styleId="214">
    <w:name w:val="font31"/>
    <w:basedOn w:val="33"/>
    <w:qFormat/>
    <w:uiPriority w:val="0"/>
    <w:rPr>
      <w:rFonts w:ascii="72" w:hAnsi="72" w:eastAsia="72" w:cs="72"/>
      <w:color w:val="000000"/>
      <w:sz w:val="20"/>
      <w:szCs w:val="20"/>
      <w:u w:val="none"/>
    </w:rPr>
  </w:style>
  <w:style w:type="paragraph" w:customStyle="1" w:styleId="215">
    <w:name w:val="Default"/>
    <w:qFormat/>
    <w:uiPriority w:val="0"/>
    <w:pPr>
      <w:widowControl w:val="0"/>
      <w:autoSpaceDE w:val="0"/>
      <w:autoSpaceDN w:val="0"/>
      <w:adjustRightInd w:val="0"/>
      <w:spacing w:after="0" w:line="240" w:lineRule="auto"/>
    </w:pPr>
    <w:rPr>
      <w:rFonts w:ascii="宋体" w:eastAsia="宋体" w:cs="宋体" w:hAnsiTheme="maj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9"/>
    <customShpInfo spid="_x0000_s4097"/>
    <customShpInfo spid="_x0000_s4101"/>
    <customShpInfo spid="_x0000_s4102"/>
    <customShpInfo spid="_x0000_s4103"/>
    <customShpInfo spid="_x0000_s4100"/>
    <customShpInfo spid="_x0000_s4105"/>
    <customShpInfo spid="_x0000_s4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6384</Words>
  <Characters>6949</Characters>
  <Lines>12</Lines>
  <Paragraphs>17</Paragraphs>
  <TotalTime>3</TotalTime>
  <ScaleCrop>false</ScaleCrop>
  <LinksUpToDate>false</LinksUpToDate>
  <CharactersWithSpaces>7055</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2023-01-26T03:58:00Z</dcterms:created>
  <dc:creator>zhang jun</dc:creator>
  <cp:lastModifiedBy>045</cp:lastModifiedBy>
  <dcterms:modified xsi:type="dcterms:W3CDTF">2024-09-26T23:52:47Z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F52D24A478984F87A5CFA8D6073A2D72_13</vt:lpwstr>
  </property>
</Properties>
</file>