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bookmarkStart w:id="61" w:name="_GoBack"/>
      <w:bookmarkEnd w:id="61"/>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bCs/>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4</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08</w:t>
      </w:r>
      <w:r>
        <w:rPr>
          <w:rFonts w:hint="eastAsia" w:ascii="Times New Roman" w:hAnsi="Times New Roman" w:eastAsia="宋体"/>
          <w:b/>
          <w:sz w:val="36"/>
          <w:szCs w:val="36"/>
          <w:highlight w:val="none"/>
        </w:rPr>
        <w:t>月</w:t>
      </w: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_Toc11326092"/>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堡垒机</w:t>
      </w:r>
    </w:p>
    <w:p>
      <w:pPr>
        <w:autoSpaceDE w:val="0"/>
        <w:autoSpaceDN w:val="0"/>
        <w:spacing w:line="360" w:lineRule="auto"/>
        <w:ind w:left="360" w:firstLine="64" w:firstLineChars="27"/>
        <w:rPr>
          <w:rFonts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 xml:space="preserve">年 </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 xml:space="preserve"> 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28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09</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11326093"/>
      <w:bookmarkStart w:id="10" w:name="_Toc516880880"/>
      <w:bookmarkStart w:id="11"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4"/>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70"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70"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70"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70"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第四章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70"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70"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提供固定营业场所的产权证明或租赁合同复印件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（格式见附件</w:t>
            </w:r>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供应商需提供无行贿犯罪记录声明函；（格式见附件</w:t>
            </w:r>
            <w:r>
              <w:rPr>
                <w:rFonts w:hint="eastAsia"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70"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70"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70"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70"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70"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70"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12</w:t>
            </w:r>
          </w:p>
        </w:tc>
        <w:tc>
          <w:tcPr>
            <w:tcW w:w="4470"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p>
        </w:tc>
        <w:tc>
          <w:tcPr>
            <w:tcW w:w="4470" w:type="pct"/>
            <w:vAlign w:val="center"/>
          </w:tcPr>
          <w:p>
            <w:pPr>
              <w:adjustRightInd w:val="0"/>
              <w:snapToGrid w:val="0"/>
              <w:spacing w:line="360" w:lineRule="auto"/>
              <w:textAlignment w:val="center"/>
              <w:rPr>
                <w:rFonts w:ascii="宋体" w:hAnsi="宋体" w:eastAsia="宋体" w:cs="Times New Roman"/>
                <w:sz w:val="24"/>
                <w:szCs w:val="20"/>
                <w:highlight w:val="none"/>
              </w:rPr>
            </w:pP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keepNext/>
        <w:keepLines/>
        <w:spacing w:before="260" w:after="260" w:line="360" w:lineRule="auto"/>
        <w:jc w:val="center"/>
        <w:outlineLvl w:val="0"/>
        <w:rPr>
          <w:rFonts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第三章  货物需求一览表及技术规格</w:t>
      </w:r>
    </w:p>
    <w:tbl>
      <w:tblPr>
        <w:tblStyle w:val="31"/>
        <w:tblW w:w="9116" w:type="dxa"/>
        <w:tblInd w:w="113" w:type="dxa"/>
        <w:tblLayout w:type="autofit"/>
        <w:tblCellMar>
          <w:top w:w="0" w:type="dxa"/>
          <w:left w:w="108" w:type="dxa"/>
          <w:bottom w:w="0" w:type="dxa"/>
          <w:right w:w="108" w:type="dxa"/>
        </w:tblCellMar>
      </w:tblPr>
      <w:tblGrid>
        <w:gridCol w:w="1442"/>
        <w:gridCol w:w="1703"/>
        <w:gridCol w:w="5971"/>
      </w:tblGrid>
      <w:tr>
        <w:tblPrEx>
          <w:tblCellMar>
            <w:top w:w="0" w:type="dxa"/>
            <w:left w:w="108" w:type="dxa"/>
            <w:bottom w:w="0" w:type="dxa"/>
            <w:right w:w="108" w:type="dxa"/>
          </w:tblCellMar>
        </w:tblPrEx>
        <w:trPr>
          <w:trHeight w:val="525" w:hRule="atLeast"/>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等线" w:cs="宋体"/>
                <w:b w:val="0"/>
                <w:bCs/>
                <w:kern w:val="2"/>
                <w:sz w:val="21"/>
                <w:szCs w:val="21"/>
                <w:highlight w:val="none"/>
                <w:lang w:val="en-US" w:eastAsia="zh-CN" w:bidi="ar-SA"/>
              </w:rPr>
            </w:pPr>
            <w:bookmarkStart w:id="14" w:name="_Toc11326096"/>
            <w:r>
              <w:rPr>
                <w:rFonts w:hint="eastAsia" w:ascii="宋体" w:hAnsi="宋体" w:cs="宋体"/>
                <w:b w:val="0"/>
                <w:bCs/>
                <w:szCs w:val="21"/>
                <w:highlight w:val="none"/>
              </w:rPr>
              <w:t>一</w:t>
            </w:r>
            <w:r>
              <w:rPr>
                <w:rFonts w:hint="eastAsia" w:ascii="宋体" w:hAnsi="宋体" w:cs="宋体"/>
                <w:b w:val="0"/>
                <w:bCs/>
                <w:szCs w:val="21"/>
                <w:highlight w:val="none"/>
                <w:lang w:eastAsia="zh-CN"/>
              </w:rPr>
              <w:t>、</w:t>
            </w:r>
            <w:r>
              <w:rPr>
                <w:rFonts w:hint="eastAsia" w:ascii="宋体" w:hAnsi="宋体" w:cs="宋体"/>
                <w:b w:val="0"/>
                <w:bCs/>
                <w:szCs w:val="21"/>
                <w:highlight w:val="none"/>
              </w:rPr>
              <w:t>总体要求</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hint="eastAsia" w:ascii="宋体" w:hAnsi="宋体" w:eastAsia="等线" w:cs="宋体"/>
                <w:b w:val="0"/>
                <w:bCs/>
                <w:kern w:val="2"/>
                <w:sz w:val="21"/>
                <w:szCs w:val="21"/>
                <w:highlight w:val="none"/>
                <w:lang w:val="en-US" w:eastAsia="zh-CN" w:bidi="ar-SA"/>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微软雅黑" w:hAnsi="微软雅黑" w:eastAsia="微软雅黑" w:cs="宋体"/>
                <w:b/>
                <w:bCs/>
                <w:color w:val="000000"/>
                <w:kern w:val="0"/>
                <w:sz w:val="22"/>
                <w:highlight w:val="none"/>
              </w:rPr>
            </w:pPr>
          </w:p>
        </w:tc>
      </w:tr>
      <w:tr>
        <w:tblPrEx>
          <w:tblCellMar>
            <w:top w:w="0" w:type="dxa"/>
            <w:left w:w="108" w:type="dxa"/>
            <w:bottom w:w="0" w:type="dxa"/>
            <w:right w:w="108" w:type="dxa"/>
          </w:tblCellMar>
        </w:tblPrEx>
        <w:trPr>
          <w:trHeight w:val="525" w:hRule="atLeast"/>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等线"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1</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hint="eastAsia" w:ascii="宋体" w:hAnsi="宋体" w:eastAsia="宋体" w:cs="宋体"/>
                <w:color w:val="000000"/>
                <w:kern w:val="2"/>
                <w:sz w:val="21"/>
                <w:szCs w:val="21"/>
                <w:highlight w:val="none"/>
                <w:u w:val="none"/>
                <w:lang w:val="en-US" w:eastAsia="zh-CN" w:bidi="ar"/>
              </w:rPr>
            </w:pPr>
            <w:r>
              <w:rPr>
                <w:rStyle w:val="211"/>
                <w:sz w:val="21"/>
                <w:szCs w:val="21"/>
                <w:highlight w:val="none"/>
                <w:lang w:bidi="ar"/>
              </w:rPr>
              <w:t>设备名称：</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微软雅黑" w:hAnsi="微软雅黑" w:eastAsia="微软雅黑" w:cs="宋体"/>
                <w:b/>
                <w:bCs/>
                <w:color w:val="000000"/>
                <w:kern w:val="0"/>
                <w:sz w:val="22"/>
                <w:highlight w:val="none"/>
              </w:rPr>
            </w:pPr>
            <w:r>
              <w:rPr>
                <w:rStyle w:val="211"/>
                <w:rFonts w:hint="eastAsia" w:eastAsia="宋体"/>
                <w:sz w:val="21"/>
                <w:szCs w:val="21"/>
                <w:highlight w:val="none"/>
                <w:lang w:val="en-US" w:eastAsia="zh-CN" w:bidi="ar"/>
              </w:rPr>
              <w:t>堡垒机</w:t>
            </w:r>
          </w:p>
        </w:tc>
      </w:tr>
      <w:tr>
        <w:tblPrEx>
          <w:tblCellMar>
            <w:top w:w="0" w:type="dxa"/>
            <w:left w:w="108" w:type="dxa"/>
            <w:bottom w:w="0" w:type="dxa"/>
            <w:right w:w="108" w:type="dxa"/>
          </w:tblCellMar>
        </w:tblPrEx>
        <w:trPr>
          <w:trHeight w:val="525" w:hRule="atLeast"/>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等线" w:cs="宋体"/>
                <w:kern w:val="2"/>
                <w:sz w:val="21"/>
                <w:szCs w:val="21"/>
                <w:highlight w:val="none"/>
                <w:lang w:val="en-US" w:eastAsia="zh-CN" w:bidi="ar-SA"/>
              </w:rPr>
            </w:pPr>
            <w:r>
              <w:rPr>
                <w:rFonts w:hint="eastAsia" w:ascii="宋体" w:hAnsi="宋体" w:cs="宋体"/>
                <w:color w:val="000000"/>
                <w:kern w:val="0"/>
                <w:szCs w:val="21"/>
                <w:highlight w:val="none"/>
                <w:lang w:bidi="ar"/>
              </w:rPr>
              <w:t>2</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hint="eastAsia" w:ascii="宋体" w:hAnsi="宋体" w:eastAsia="等线" w:cs="宋体"/>
                <w:kern w:val="2"/>
                <w:sz w:val="21"/>
                <w:szCs w:val="21"/>
                <w:highlight w:val="none"/>
                <w:lang w:val="en-US" w:eastAsia="zh-CN" w:bidi="ar-SA"/>
              </w:rPr>
            </w:pPr>
            <w:r>
              <w:rPr>
                <w:rFonts w:hint="eastAsia" w:ascii="宋体" w:hAnsi="宋体" w:cs="宋体"/>
                <w:color w:val="000000"/>
                <w:kern w:val="0"/>
                <w:szCs w:val="21"/>
                <w:highlight w:val="none"/>
                <w:lang w:bidi="ar"/>
              </w:rPr>
              <w:t>交货期：</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微软雅黑" w:hAnsi="微软雅黑" w:eastAsia="微软雅黑" w:cs="宋体"/>
                <w:b/>
                <w:bCs/>
                <w:color w:val="000000"/>
                <w:kern w:val="0"/>
                <w:sz w:val="22"/>
                <w:highlight w:val="none"/>
              </w:rPr>
            </w:pPr>
            <w:r>
              <w:rPr>
                <w:rFonts w:hint="eastAsia" w:ascii="宋体" w:hAnsi="宋体" w:cs="宋体"/>
                <w:color w:val="000000"/>
                <w:kern w:val="0"/>
                <w:szCs w:val="21"/>
                <w:highlight w:val="none"/>
                <w:lang w:bidi="ar"/>
              </w:rPr>
              <w:t>合同签订后</w:t>
            </w:r>
            <w:r>
              <w:rPr>
                <w:rFonts w:hint="eastAsia" w:ascii="宋体" w:hAnsi="宋体" w:cs="宋体"/>
                <w:color w:val="000000"/>
                <w:kern w:val="0"/>
                <w:szCs w:val="21"/>
                <w:highlight w:val="none"/>
                <w:lang w:val="en-US" w:eastAsia="zh-CN" w:bidi="ar"/>
              </w:rPr>
              <w:t>30</w:t>
            </w:r>
            <w:r>
              <w:rPr>
                <w:rFonts w:hint="eastAsia" w:ascii="宋体" w:hAnsi="宋体" w:cs="宋体"/>
                <w:color w:val="000000"/>
                <w:kern w:val="0"/>
                <w:szCs w:val="21"/>
                <w:highlight w:val="none"/>
                <w:lang w:bidi="ar"/>
              </w:rPr>
              <w:t>天内指定地点交货</w:t>
            </w:r>
          </w:p>
        </w:tc>
      </w:tr>
      <w:tr>
        <w:tblPrEx>
          <w:tblCellMar>
            <w:top w:w="0" w:type="dxa"/>
            <w:left w:w="108" w:type="dxa"/>
            <w:bottom w:w="0" w:type="dxa"/>
            <w:right w:w="108" w:type="dxa"/>
          </w:tblCellMar>
        </w:tblPrEx>
        <w:trPr>
          <w:trHeight w:val="525" w:hRule="atLeast"/>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等线" w:cs="宋体"/>
                <w:kern w:val="2"/>
                <w:sz w:val="21"/>
                <w:szCs w:val="21"/>
                <w:highlight w:val="none"/>
                <w:lang w:val="en-US" w:eastAsia="zh-CN" w:bidi="ar-SA"/>
              </w:rPr>
            </w:pPr>
            <w:r>
              <w:rPr>
                <w:rFonts w:hint="eastAsia" w:ascii="宋体" w:hAnsi="宋体" w:cs="宋体"/>
                <w:szCs w:val="21"/>
                <w:highlight w:val="none"/>
              </w:rPr>
              <w:t>3</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hint="default" w:ascii="宋体" w:hAnsi="宋体" w:eastAsia="等线"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维保：</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default" w:ascii="微软雅黑" w:hAnsi="微软雅黑" w:eastAsia="等线" w:cs="宋体"/>
                <w:b/>
                <w:bCs/>
                <w:color w:val="000000"/>
                <w:kern w:val="0"/>
                <w:sz w:val="22"/>
                <w:highlight w:val="none"/>
                <w:lang w:val="en-US" w:eastAsia="zh-CN"/>
              </w:rPr>
            </w:pPr>
            <w:r>
              <w:rPr>
                <w:rFonts w:hint="eastAsia" w:ascii="宋体" w:hAnsi="宋体" w:cs="宋体"/>
                <w:bCs/>
                <w:szCs w:val="21"/>
                <w:highlight w:val="none"/>
                <w:lang w:val="en-US" w:eastAsia="zh-CN"/>
              </w:rPr>
              <w:t>项目</w:t>
            </w:r>
            <w:r>
              <w:rPr>
                <w:rFonts w:hint="eastAsia" w:ascii="宋体" w:hAnsi="宋体" w:cs="宋体"/>
                <w:bCs/>
                <w:szCs w:val="21"/>
                <w:highlight w:val="none"/>
              </w:rPr>
              <w:t>免费</w:t>
            </w:r>
            <w:r>
              <w:rPr>
                <w:rFonts w:hint="eastAsia" w:ascii="宋体" w:hAnsi="宋体" w:cs="宋体"/>
                <w:bCs/>
                <w:szCs w:val="21"/>
                <w:highlight w:val="none"/>
                <w:lang w:val="en-US" w:eastAsia="zh-CN"/>
              </w:rPr>
              <w:t>全保</w:t>
            </w:r>
            <w:r>
              <w:rPr>
                <w:rFonts w:hint="eastAsia" w:ascii="宋体" w:hAnsi="宋体" w:cs="宋体"/>
                <w:szCs w:val="21"/>
                <w:highlight w:val="none"/>
                <w:lang w:val="en-US" w:eastAsia="zh-CN"/>
              </w:rPr>
              <w:t>≥</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过保后费率≤10%</w:t>
            </w:r>
          </w:p>
        </w:tc>
      </w:tr>
      <w:bookmarkEnd w:id="12"/>
      <w:bookmarkEnd w:id="13"/>
      <w:tr>
        <w:tblPrEx>
          <w:tblCellMar>
            <w:top w:w="0" w:type="dxa"/>
            <w:left w:w="108" w:type="dxa"/>
            <w:bottom w:w="0" w:type="dxa"/>
            <w:right w:w="108" w:type="dxa"/>
          </w:tblCellMar>
        </w:tblPrEx>
        <w:trPr>
          <w:trHeight w:val="525" w:hRule="atLeast"/>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二、</w:t>
            </w:r>
            <w:r>
              <w:rPr>
                <w:rFonts w:hint="eastAsia" w:ascii="宋体" w:hAnsi="宋体" w:cs="宋体"/>
                <w:color w:val="000000"/>
                <w:kern w:val="0"/>
                <w:szCs w:val="21"/>
                <w:highlight w:val="none"/>
                <w:lang w:bidi="ar"/>
              </w:rPr>
              <w:t>类型</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指标项</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指标要求</w:t>
            </w:r>
          </w:p>
        </w:tc>
      </w:tr>
      <w:tr>
        <w:tblPrEx>
          <w:tblCellMar>
            <w:top w:w="0" w:type="dxa"/>
            <w:left w:w="108" w:type="dxa"/>
            <w:bottom w:w="0" w:type="dxa"/>
            <w:right w:w="108" w:type="dxa"/>
          </w:tblCellMar>
        </w:tblPrEx>
        <w:trPr>
          <w:trHeight w:val="300" w:hRule="atLeast"/>
        </w:trPr>
        <w:tc>
          <w:tcPr>
            <w:tcW w:w="14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服务器</w:t>
            </w: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形态</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2U机架服务器</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CPU</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配置64位ARM处理器，主频基频≥2.6GHz，每颗物理核心≥32核</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内存</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配置≥4* 64GB DDR4 内存</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硬盘</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配置≥3块1.92TB SAS SSD</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Raid卡</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支持RAID 0,1,5,6,10,50,60,支持超级电容和边带管理 , 4G cache</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网卡</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配置≥2*2*10Gbps Ethernet+4*1Gbps Ethernet接口</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电源</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2个高效冗余热插拔电源</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风扇</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冗余热拔插风扇</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工作温度</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5℃～40℃</w:t>
            </w:r>
          </w:p>
        </w:tc>
      </w:tr>
      <w:tr>
        <w:tblPrEx>
          <w:tblCellMar>
            <w:top w:w="0" w:type="dxa"/>
            <w:left w:w="108" w:type="dxa"/>
            <w:bottom w:w="0" w:type="dxa"/>
            <w:right w:w="108" w:type="dxa"/>
          </w:tblCellMar>
        </w:tblPrEx>
        <w:trPr>
          <w:trHeight w:val="1103" w:hRule="atLeast"/>
        </w:trPr>
        <w:tc>
          <w:tcPr>
            <w:tcW w:w="14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堡垒机</w:t>
            </w:r>
          </w:p>
        </w:tc>
        <w:tc>
          <w:tcPr>
            <w:tcW w:w="1703" w:type="dxa"/>
            <w:vMerge w:val="restart"/>
            <w:tcBorders>
              <w:top w:val="nil"/>
              <w:left w:val="single" w:color="auto" w:sz="4" w:space="0"/>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资产管理</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支持纳管 SSH、RDP、VNC、Telnet、Sftp 等主流协议资产和网络设备；支持纳管 Kubernetes 集群，支持 Pod 级别的查看、连接、操作以及会话审计；支持纳管 MySQL、Redis、ClickHouse、MongoDB、MariaDB、SQL Server、Oracle、PostgreSql 等数据库</w:t>
            </w:r>
          </w:p>
        </w:tc>
      </w:tr>
      <w:tr>
        <w:tblPrEx>
          <w:tblCellMar>
            <w:top w:w="0" w:type="dxa"/>
            <w:left w:w="108" w:type="dxa"/>
            <w:bottom w:w="0" w:type="dxa"/>
            <w:right w:w="108" w:type="dxa"/>
          </w:tblCellMar>
        </w:tblPrEx>
        <w:trPr>
          <w:trHeight w:val="1628"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支持定时同步私有云，包括VMWare、华为云 Stack 8.x、青云私有云、天翼云私有云、Fusion Compute、OpenStack、Nutanix资产；支持定时同步公有云，包括腾讯云、阿里云、华为云、AWS、Azure、谷歌云、百度云、京东云、金山云等资产；支持通过网域网关功能对私有云、公有云云主机进行统一管理</w:t>
            </w:r>
          </w:p>
        </w:tc>
      </w:tr>
      <w:tr>
        <w:tblPrEx>
          <w:tblCellMar>
            <w:top w:w="0" w:type="dxa"/>
            <w:left w:w="108" w:type="dxa"/>
            <w:bottom w:w="0" w:type="dxa"/>
            <w:right w:w="108" w:type="dxa"/>
          </w:tblCellMar>
        </w:tblPrEx>
        <w:trPr>
          <w:trHeight w:val="855"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支持纳管 RemoteApp 远程应用，自主配备 Navicat、Chrome 等常见的远程应用，并允许用户自主上传远程应用包来纳管自定义的 B/S、C/S 应用；支持自主托管应用发布机集群，支持将应用一键部署至远程应用发布机</w:t>
            </w:r>
          </w:p>
        </w:tc>
      </w:tr>
      <w:tr>
        <w:tblPrEx>
          <w:tblCellMar>
            <w:top w:w="0" w:type="dxa"/>
            <w:left w:w="108" w:type="dxa"/>
            <w:bottom w:w="0" w:type="dxa"/>
            <w:right w:w="108" w:type="dxa"/>
          </w:tblCellMar>
        </w:tblPrEx>
        <w:trPr>
          <w:trHeight w:val="57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授权管理</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支持以用户/用户组、资产/资产节点、指定账号、同名账号、账号模板等维度，细粒度、灵活的进行权限控制；支持对资产连接的复制、粘贴、上传、下载等操作进行权限控制</w:t>
            </w:r>
          </w:p>
        </w:tc>
      </w:tr>
      <w:tr>
        <w:tblPrEx>
          <w:tblCellMar>
            <w:top w:w="0" w:type="dxa"/>
            <w:left w:w="108" w:type="dxa"/>
            <w:bottom w:w="0" w:type="dxa"/>
            <w:right w:w="108" w:type="dxa"/>
          </w:tblCellMar>
        </w:tblPrEx>
        <w:trPr>
          <w:trHeight w:val="855"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restart"/>
            <w:tcBorders>
              <w:top w:val="nil"/>
              <w:left w:val="single" w:color="auto" w:sz="4" w:space="0"/>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资产运维</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支持使用 mstsc、Microsoft Remote Desktop、Xshell、Putty、SecureCRT、WinSCP、Navicat 等工具访问资产和应用；并支持在浏览器端直接使用 Web GUI 的方式访问 MySQL、PostgreSQL、Oracle 等数据库</w:t>
            </w:r>
          </w:p>
        </w:tc>
      </w:tr>
      <w:tr>
        <w:tblPrEx>
          <w:tblCellMar>
            <w:top w:w="0" w:type="dxa"/>
            <w:left w:w="108" w:type="dxa"/>
            <w:bottom w:w="0" w:type="dxa"/>
            <w:right w:w="108" w:type="dxa"/>
          </w:tblCellMar>
        </w:tblPrEx>
        <w:trPr>
          <w:trHeight w:val="855"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支持对 Playbook 模板，Shell、Powershell、Python 脚本命令进行维护和管理；支持通过批量勾选资产，快捷的批量执行命令；支持通过定时任务执行 Playbook，Shell、Powershell、Python 脚本作业；支持对各作业的执行进行统计展示和日志审计</w:t>
            </w:r>
          </w:p>
        </w:tc>
      </w:tr>
      <w:tr>
        <w:tblPrEx>
          <w:tblCellMar>
            <w:top w:w="0" w:type="dxa"/>
            <w:left w:w="108" w:type="dxa"/>
            <w:bottom w:w="0" w:type="dxa"/>
            <w:right w:w="108" w:type="dxa"/>
          </w:tblCellMar>
        </w:tblPrEx>
        <w:trPr>
          <w:trHeight w:val="30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安全审计</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支持将日志备份至 ElasticSearch，并支持按日期建立索引存储日志</w:t>
            </w:r>
          </w:p>
        </w:tc>
      </w:tr>
      <w:tr>
        <w:tblPrEx>
          <w:tblCellMar>
            <w:top w:w="0" w:type="dxa"/>
            <w:left w:w="108" w:type="dxa"/>
            <w:bottom w:w="0" w:type="dxa"/>
            <w:right w:w="108" w:type="dxa"/>
          </w:tblCellMar>
        </w:tblPrEx>
        <w:trPr>
          <w:trHeight w:val="57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支持资产会话添加水印信息；支持将录像文件备份至 Ceph、Swift、OSS、S3、Azure、OBS、COS 等对象存储服务，并支持使用专门的播放器离线回放录像文件</w:t>
            </w:r>
          </w:p>
        </w:tc>
      </w:tr>
      <w:tr>
        <w:tblPrEx>
          <w:tblCellMar>
            <w:top w:w="0" w:type="dxa"/>
            <w:left w:w="108" w:type="dxa"/>
            <w:bottom w:w="0" w:type="dxa"/>
            <w:right w:w="108" w:type="dxa"/>
          </w:tblCellMar>
        </w:tblPrEx>
        <w:trPr>
          <w:trHeight w:val="570" w:hRule="atLeast"/>
        </w:trPr>
        <w:tc>
          <w:tcPr>
            <w:tcW w:w="1442" w:type="dxa"/>
            <w:vMerge w:val="continue"/>
            <w:tcBorders>
              <w:top w:val="nil"/>
              <w:left w:val="single" w:color="auto" w:sz="4" w:space="0"/>
              <w:bottom w:val="single" w:color="auto" w:sz="4" w:space="0"/>
              <w:right w:val="single" w:color="auto" w:sz="4" w:space="0"/>
            </w:tcBorders>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nil"/>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系统拓展</w:t>
            </w:r>
          </w:p>
        </w:tc>
        <w:tc>
          <w:tcPr>
            <w:tcW w:w="5971" w:type="dxa"/>
            <w:tcBorders>
              <w:top w:val="nil"/>
              <w:left w:val="nil"/>
              <w:bottom w:val="single" w:color="auto" w:sz="4" w:space="0"/>
              <w:right w:val="single" w:color="auto" w:sz="4" w:space="0"/>
            </w:tcBorders>
            <w:shd w:val="clear" w:color="auto" w:fill="auto"/>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支持手动新增连接端点，并配置端点负载规则。通过标签关联指定资产，转发资产访问流量至指定的服务节点</w:t>
            </w:r>
          </w:p>
        </w:tc>
      </w:tr>
      <w:tr>
        <w:tblPrEx>
          <w:tblCellMar>
            <w:top w:w="0" w:type="dxa"/>
            <w:left w:w="108" w:type="dxa"/>
            <w:bottom w:w="0" w:type="dxa"/>
            <w:right w:w="108" w:type="dxa"/>
          </w:tblCellMar>
        </w:tblPrEx>
        <w:trPr>
          <w:trHeight w:val="300" w:hRule="atLeast"/>
        </w:trPr>
        <w:tc>
          <w:tcPr>
            <w:tcW w:w="1442" w:type="dxa"/>
            <w:vMerge w:val="restart"/>
            <w:tcBorders>
              <w:top w:val="single" w:color="auto" w:sz="4" w:space="0"/>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操作系统</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架构支持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支持兆芯ZX-C+系列/KH-20000系列/KH-30000系列，海光 3200、5200、7200 系列，飞腾FT-1500A/16、FT-2000+/64、S2500，鲲鹏920，龙芯 3B3000/3B4000/3B5000，申威3231处理器等自主CPU平台</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内核要求</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稳定版本</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restart"/>
            <w:tcBorders>
              <w:top w:val="single" w:color="auto" w:sz="4" w:space="0"/>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安全特性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支持内核和核外统一访问控制安全框架KYSEC</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支持多策略融合的强制访问控制机制</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内置私有数据隔离保护技术，通过该技术包括管理员在内的任何其他用户都不能进行非授权访问</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内置国密算法，支持基于国密算法的加解密应用</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支持可信计算TCM/TPCM、TPM2.0</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云原生支持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优化支持KVM、Docker、LXC虚拟化，以及Ceph、GlusterFS、OpenStack、k8s等原生技术生态，实现对容器、虚拟化、云平台、大数据等云原生应用的良好支持</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存储支持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内置支持快速块设备作为慢速块设备缓存以加速IO</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支持swap压缩以减少IO并提高性能</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支持FCoE、iSCSI，支持将Ceph 块设备视为常规磁盘设备条目，挂载到某个目录并使用标准文件系统格式化，比如 XFS 或者EXT4</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网络支持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支持网卡bonding</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虚拟化支持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支持KVM虚拟化</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内置单机虚拟化管理程序</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支持作为KVM、Xen、Hyper-V、ESXi虚拟机</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常用应用支持</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默认提供apache http、ftp、DNS、DHCP、MariaDB、PostgreSQL、NFS、Samba、LDAP等应用</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可管理性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提供图形化的远程桌面查看工具，支持SSH、SPICE、VNC、RDP协议</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支持按需启动守护进程</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支持生成系统状体快照及恢复系统状态</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提供图形化综合管理平台</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restart"/>
            <w:tcBorders>
              <w:top w:val="single" w:color="auto" w:sz="4" w:space="0"/>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高可用性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支持负载均衡</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支持多种网卡Bonding，提高可用性</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支持存储多路径并提供国际标准multipath驱动</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restart"/>
            <w:tcBorders>
              <w:top w:val="single" w:color="auto" w:sz="4" w:space="0"/>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可维护性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提供在线升级服务</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支持动态内核补丁，支持在不重启的情况下为内核打补丁</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提供Kdump用于系统崩溃时的信息收集，支持最大3TB内存</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支持固件辅助转储fadump</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支持系统crash时对系统崩溃信息进行分析</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支持sosreport收集系统配置和运行主机上的诊断信息，协助排查故障</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提供程序错误自动报告工具，统一不同源的出错数据集合，捕获、处理并记录所有来自内核追踪架构的可靠性、可用性及可服务性（RAS）出错事件</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提供强制访问控制故障排除工具</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vMerge w:val="continue"/>
            <w:tcBorders>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提供oProfile、papi 、elfutils等内核性能分析工具</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软件兼容性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兼容国内自主软件产品：</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数据库：人大金仓、达梦、神舟通用、南大通用等</w:t>
            </w:r>
          </w:p>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中间件：东方通、金蝶、中创、华宇等</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硬件兼容性</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兼容国内外主流的服务器、存储等硬件产品</w:t>
            </w:r>
          </w:p>
        </w:tc>
      </w:tr>
      <w:tr>
        <w:tblPrEx>
          <w:tblCellMar>
            <w:top w:w="0" w:type="dxa"/>
            <w:left w:w="108" w:type="dxa"/>
            <w:bottom w:w="0" w:type="dxa"/>
            <w:right w:w="108" w:type="dxa"/>
          </w:tblCellMar>
        </w:tblPrEx>
        <w:trPr>
          <w:trHeight w:val="300" w:hRule="atLeast"/>
        </w:trPr>
        <w:tc>
          <w:tcPr>
            <w:tcW w:w="1442" w:type="dxa"/>
            <w:vMerge w:val="restart"/>
            <w:tcBorders>
              <w:top w:val="single" w:color="auto" w:sz="4" w:space="0"/>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零信任网关</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授权数量</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零信任接入授权100点</w:t>
            </w:r>
          </w:p>
        </w:tc>
      </w:tr>
      <w:tr>
        <w:tblPrEx>
          <w:tblCellMar>
            <w:top w:w="0" w:type="dxa"/>
            <w:left w:w="108" w:type="dxa"/>
            <w:bottom w:w="0" w:type="dxa"/>
            <w:right w:w="108" w:type="dxa"/>
          </w:tblCellMar>
        </w:tblPrEx>
        <w:trPr>
          <w:trHeight w:val="300" w:hRule="atLeast"/>
        </w:trPr>
        <w:tc>
          <w:tcPr>
            <w:tcW w:w="1442" w:type="dxa"/>
            <w:vMerge w:val="continue"/>
            <w:tcBorders>
              <w:left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功能</w:t>
            </w:r>
          </w:p>
        </w:tc>
        <w:tc>
          <w:tcPr>
            <w:tcW w:w="5971"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34"/>
              </w:tabs>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基于零信任架构设计，采用国家密码管理局颁布的SM1、SM2、SM3、SM4密码算法及其协议，支持多种身份认证方式、细粒度访问权限控制等主要功能，保证远程系统接入的用户身份安全、终端/数据安全、传输安全、应用权限安全和审计安全，符合国家商用密码标准，具有快速、易用、全面等优势特点。</w:t>
            </w:r>
          </w:p>
        </w:tc>
      </w:tr>
    </w:tbl>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Times New Roman" w:hAnsi="Times New Roman" w:eastAsia="宋体" w:cs="Times New Roman"/>
          <w:b/>
          <w:sz w:val="40"/>
          <w:szCs w:val="40"/>
          <w:highlight w:val="none"/>
          <w:lang w:val="en-US" w:eastAsia="zh-CN"/>
        </w:rPr>
        <w:t>堡垒机</w:t>
      </w:r>
    </w:p>
    <w:p>
      <w:pPr>
        <w:jc w:val="center"/>
        <w:rPr>
          <w:rFonts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392227906"/>
      <w:bookmarkStart w:id="16" w:name="_Toc458971242"/>
      <w:bookmarkStart w:id="17" w:name="_Toc457748049"/>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7039"/>
      <w:bookmarkStart w:id="19" w:name="_Toc352691655"/>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6931"/>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Times New Roman" w:hAnsi="Times New Roman" w:eastAsia="宋体" w:cs="Times New Roman"/>
          <w:szCs w:val="21"/>
          <w:highlight w:val="none"/>
          <w:u w:val="single"/>
          <w:lang w:val="en-US" w:eastAsia="zh-CN"/>
        </w:rPr>
        <w:t>堡垒机</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52691658"/>
      <w:bookmarkStart w:id="25" w:name="_Toc1187"/>
      <w:bookmarkStart w:id="26" w:name="_Toc369531694"/>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52691659"/>
      <w:bookmarkStart w:id="28" w:name="_Toc369531695"/>
      <w:bookmarkStart w:id="29" w:name="_Toc16568"/>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52691660"/>
      <w:bookmarkStart w:id="31" w:name="_Toc369531696"/>
      <w:bookmarkStart w:id="32" w:name="_Toc16824"/>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52045787"/>
      <w:bookmarkStart w:id="34" w:name="_Toc247514246"/>
      <w:bookmarkStart w:id="35" w:name="_Toc384308375"/>
      <w:bookmarkStart w:id="36" w:name="_Toc247527827"/>
      <w:bookmarkStart w:id="37" w:name="_Toc361508752"/>
      <w:bookmarkStart w:id="38" w:name="_Toc17960"/>
      <w:bookmarkStart w:id="39" w:name="_Toc352691661"/>
      <w:bookmarkStart w:id="40" w:name="_Toc300835209"/>
      <w:bookmarkStart w:id="41" w:name="_Toc152042576"/>
      <w:bookmarkStart w:id="42" w:name="_Toc144974856"/>
      <w:bookmarkStart w:id="43" w:name="_Toc369531697"/>
      <w:r>
        <w:rPr>
          <w:rFonts w:hint="eastAsia" w:ascii="宋体" w:hAnsi="宋体" w:eastAsia="宋体" w:cs="Times New Roman"/>
          <w:b/>
          <w:sz w:val="24"/>
          <w:szCs w:val="24"/>
          <w:highlight w:val="none"/>
        </w:rPr>
        <w:br w:type="page"/>
      </w:r>
      <w:bookmarkStart w:id="44" w:name="_Toc392227908"/>
      <w:bookmarkStart w:id="45" w:name="_Toc458971245"/>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_Toc458971246"/>
      <w:bookmarkStart w:id="49" w:name="OLE_LINK2"/>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Times New Roman" w:hAnsi="Times New Roman" w:eastAsia="宋体" w:cs="Times New Roman"/>
          <w:szCs w:val="21"/>
          <w:highlight w:val="none"/>
          <w:u w:val="single"/>
        </w:rPr>
        <w:t>不间断电源</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szCs w:val="21"/>
                <w:highlight w:val="none"/>
                <w:u w:val="none"/>
                <w:lang w:val="en-US" w:eastAsia="zh-CN"/>
              </w:rPr>
              <w:t>堡垒机</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2"/>
        <w:rPr>
          <w:rFonts w:ascii="宋体" w:hAnsi="宋体" w:eastAsia="宋体" w:cs="Times New Roman"/>
          <w:szCs w:val="21"/>
          <w:highlight w:val="none"/>
        </w:rPr>
      </w:pPr>
    </w:p>
    <w:p>
      <w:pPr>
        <w:pStyle w:val="2"/>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2"/>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7748057"/>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458971251"/>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3"/>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3"/>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3"/>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4"/>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4"/>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4"/>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4"/>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16417323"/>
    <w:rsid w:val="16AD11B6"/>
    <w:rsid w:val="195F72C6"/>
    <w:rsid w:val="23F970EA"/>
    <w:rsid w:val="5E1846EF"/>
    <w:rsid w:val="6F0A1AA0"/>
    <w:rsid w:val="74E65469"/>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1"/>
    <w:qFormat/>
    <w:uiPriority w:val="0"/>
    <w:rPr>
      <w:rFonts w:ascii="宋体" w:hAnsi="Times New Roman" w:eastAsia="宋体" w:cs="Times New Roman"/>
      <w:sz w:val="18"/>
      <w:szCs w:val="18"/>
    </w:rPr>
  </w:style>
  <w:style w:type="paragraph" w:styleId="14">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4"/>
    <w:qFormat/>
    <w:uiPriority w:val="0"/>
    <w:rPr>
      <w:rFonts w:ascii="Times New Roman" w:hAnsi="Times New Roman" w:eastAsia="宋体" w:cs="Times New Roman"/>
      <w:sz w:val="48"/>
      <w:szCs w:val="48"/>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3"/>
    <w:qFormat/>
    <w:uiPriority w:val="0"/>
    <w:rPr>
      <w:rFonts w:ascii="Times New Roman" w:hAnsi="Times New Roman" w:eastAsia="宋体" w:cs="Times New Roman"/>
      <w:b/>
      <w:kern w:val="44"/>
      <w:sz w:val="44"/>
      <w:szCs w:val="20"/>
    </w:rPr>
  </w:style>
  <w:style w:type="character" w:customStyle="1" w:styleId="41">
    <w:name w:val="标题 2 Char"/>
    <w:basedOn w:val="33"/>
    <w:link w:val="4"/>
    <w:qFormat/>
    <w:uiPriority w:val="0"/>
    <w:rPr>
      <w:rFonts w:ascii="Arial" w:hAnsi="Arial" w:eastAsia="黑体" w:cs="Times New Roman"/>
      <w:b/>
      <w:bCs/>
      <w:sz w:val="32"/>
      <w:szCs w:val="32"/>
    </w:rPr>
  </w:style>
  <w:style w:type="character" w:customStyle="1" w:styleId="42">
    <w:name w:val="标题 3 Char"/>
    <w:basedOn w:val="33"/>
    <w:link w:val="5"/>
    <w:qFormat/>
    <w:uiPriority w:val="0"/>
    <w:rPr>
      <w:rFonts w:ascii="Times New Roman" w:hAnsi="Times New Roman" w:eastAsia="宋体" w:cs="Times New Roman"/>
      <w:b/>
      <w:sz w:val="32"/>
      <w:szCs w:val="20"/>
    </w:rPr>
  </w:style>
  <w:style w:type="character" w:customStyle="1" w:styleId="43">
    <w:name w:val="标题 4 Char"/>
    <w:basedOn w:val="33"/>
    <w:link w:val="7"/>
    <w:qFormat/>
    <w:uiPriority w:val="0"/>
    <w:rPr>
      <w:rFonts w:ascii="Arial" w:hAnsi="Arial" w:eastAsia="黑体" w:cs="Times New Roman"/>
      <w:b/>
      <w:bCs/>
      <w:sz w:val="28"/>
      <w:szCs w:val="28"/>
    </w:rPr>
  </w:style>
  <w:style w:type="character" w:customStyle="1" w:styleId="44">
    <w:name w:val="标题 5 Char"/>
    <w:basedOn w:val="33"/>
    <w:link w:val="8"/>
    <w:qFormat/>
    <w:uiPriority w:val="0"/>
    <w:rPr>
      <w:rFonts w:ascii="Times New Roman" w:hAnsi="Times New Roman" w:eastAsia="宋体" w:cs="Times New Roman"/>
      <w:b/>
      <w:bCs/>
      <w:sz w:val="28"/>
      <w:szCs w:val="28"/>
    </w:rPr>
  </w:style>
  <w:style w:type="character" w:customStyle="1" w:styleId="45">
    <w:name w:val="标题 6 Char"/>
    <w:basedOn w:val="33"/>
    <w:link w:val="9"/>
    <w:qFormat/>
    <w:uiPriority w:val="0"/>
    <w:rPr>
      <w:rFonts w:ascii="Arial" w:hAnsi="Arial" w:eastAsia="黑体" w:cs="Times New Roman"/>
      <w:b/>
      <w:bCs/>
      <w:sz w:val="24"/>
      <w:szCs w:val="24"/>
    </w:rPr>
  </w:style>
  <w:style w:type="character" w:customStyle="1" w:styleId="46">
    <w:name w:val="标题 7 Char"/>
    <w:basedOn w:val="33"/>
    <w:link w:val="10"/>
    <w:qFormat/>
    <w:uiPriority w:val="0"/>
    <w:rPr>
      <w:rFonts w:ascii="Times New Roman" w:hAnsi="Times New Roman" w:eastAsia="宋体" w:cs="Times New Roman"/>
      <w:b/>
      <w:bCs/>
      <w:sz w:val="24"/>
      <w:szCs w:val="24"/>
    </w:rPr>
  </w:style>
  <w:style w:type="character" w:customStyle="1" w:styleId="47">
    <w:name w:val="标题 8 Char"/>
    <w:basedOn w:val="33"/>
    <w:link w:val="11"/>
    <w:qFormat/>
    <w:uiPriority w:val="0"/>
    <w:rPr>
      <w:rFonts w:ascii="Arial" w:hAnsi="Arial" w:eastAsia="黑体" w:cs="Times New Roman"/>
      <w:sz w:val="24"/>
      <w:szCs w:val="24"/>
    </w:rPr>
  </w:style>
  <w:style w:type="character" w:customStyle="1" w:styleId="48">
    <w:name w:val="标题 9 Char"/>
    <w:basedOn w:val="33"/>
    <w:link w:val="12"/>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5"/>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6"/>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6"/>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2"/>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4"/>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5"/>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3"/>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6302</Words>
  <Characters>7424</Characters>
  <Lines>53</Lines>
  <Paragraphs>15</Paragraphs>
  <TotalTime>12</TotalTime>
  <ScaleCrop>false</ScaleCrop>
  <LinksUpToDate>false</LinksUpToDate>
  <CharactersWithSpaces>8590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2024-08-23T00:39:37Z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