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before="27" w:line="364" w:lineRule="auto"/>
        <w:ind w:left="448" w:right="338" w:firstLine="0"/>
        <w:jc w:val="center"/>
        <w:rPr>
          <w:rFonts w:ascii="楷体" w:eastAsia="楷体"/>
          <w:sz w:val="52"/>
        </w:rPr>
      </w:pPr>
      <w:r>
        <w:rPr>
          <w:rFonts w:hint="eastAsia" w:ascii="楷体" w:eastAsia="楷体"/>
          <w:spacing w:val="-2"/>
          <w:sz w:val="52"/>
        </w:rPr>
        <w:t>科普视频长期供应商</w:t>
      </w:r>
      <w:r>
        <w:rPr>
          <w:rFonts w:ascii="楷体" w:eastAsia="楷体"/>
          <w:spacing w:val="-2"/>
          <w:sz w:val="52"/>
        </w:rPr>
        <w:t>采购项目</w:t>
      </w:r>
    </w:p>
    <w:p>
      <w:pPr>
        <w:pStyle w:val="2"/>
        <w:spacing w:before="7"/>
        <w:ind w:left="0"/>
        <w:rPr>
          <w:rFonts w:ascii="楷体"/>
          <w:sz w:val="77"/>
        </w:rPr>
      </w:pPr>
    </w:p>
    <w:p>
      <w:pPr>
        <w:pStyle w:val="11"/>
        <w:spacing w:line="312" w:lineRule="auto"/>
      </w:pPr>
      <w:r>
        <w:rPr>
          <w:rFonts w:ascii="Microsoft JhengHei" w:eastAsia="Microsoft JhengHei"/>
          <w:spacing w:val="-6"/>
          <w:w w:val="150"/>
        </w:rPr>
        <w:t>竞</w:t>
      </w:r>
      <w:r>
        <w:rPr>
          <w:spacing w:val="-6"/>
          <w:w w:val="150"/>
        </w:rPr>
        <w:t>争性磋商文件</w:t>
      </w:r>
    </w:p>
    <w:p>
      <w:pPr>
        <w:pStyle w:val="2"/>
        <w:ind w:left="0"/>
        <w:rPr>
          <w:rFonts w:ascii="MS UI Gothic"/>
          <w:b/>
          <w:sz w:val="96"/>
        </w:rPr>
      </w:pPr>
    </w:p>
    <w:p>
      <w:pPr>
        <w:spacing w:before="790"/>
        <w:ind w:left="2179" w:right="0" w:firstLine="0"/>
        <w:jc w:val="both"/>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z w:val="30"/>
          <w:szCs w:val="30"/>
        </w:rPr>
      </w:pPr>
    </w:p>
    <w:p>
      <w:pPr>
        <w:pStyle w:val="3"/>
        <w:numPr>
          <w:ilvl w:val="0"/>
          <w:numId w:val="0"/>
        </w:numPr>
        <w:tabs>
          <w:tab w:val="left" w:pos="1559"/>
        </w:tabs>
        <w:spacing w:line="413" w:lineRule="exact"/>
        <w:ind w:right="0" w:rightChars="0"/>
        <w:jc w:val="center"/>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rPr>
          <w:rFonts w:hint="eastAsia"/>
        </w:rPr>
      </w:pPr>
    </w:p>
    <w:p>
      <w:pPr>
        <w:tabs>
          <w:tab w:val="left" w:pos="1080"/>
        </w:tabs>
        <w:autoSpaceDE w:val="0"/>
        <w:autoSpaceDN w:val="0"/>
        <w:adjustRightInd w:val="0"/>
        <w:spacing w:line="360" w:lineRule="auto"/>
        <w:ind w:left="297" w:leftChars="135"/>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pacing w:val="-2"/>
          <w:sz w:val="24"/>
          <w:szCs w:val="24"/>
          <w:u w:val="single"/>
        </w:rPr>
        <w:t>科普视频长期供应商</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采购项目的采购人为上海市中医医院（以下称“采购人”），资金来源为医院自筹，现对本项目进行竞争性磋商采购。在此欢迎中华人民共和国境内的合格供应商参加磋商。</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480" w:leftChars="218" w:right="57" w:rightChars="0" w:firstLine="0" w:firstLine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2"/>
          <w:sz w:val="24"/>
          <w:szCs w:val="24"/>
        </w:rPr>
        <w:t>科普视频长期供应商</w:t>
      </w:r>
    </w:p>
    <w:p>
      <w:pPr>
        <w:pStyle w:val="2"/>
        <w:spacing w:before="159" w:line="364" w:lineRule="auto"/>
        <w:ind w:right="39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3、项目主要内容、数量及简要规格描述或项目基本概况介绍：</w:t>
      </w:r>
      <w:r>
        <w:rPr>
          <w:rFonts w:hint="eastAsia" w:ascii="宋体" w:hAnsi="宋体" w:eastAsia="宋体" w:cs="宋体"/>
          <w:sz w:val="24"/>
          <w:szCs w:val="24"/>
        </w:rPr>
        <w:t>供应商应具有履行合同所必须的拍摄、剪辑、后期制作能力，在上海地区设有售后维护、服务机构。</w:t>
      </w:r>
      <w:r>
        <w:rPr>
          <w:rFonts w:hint="eastAsia" w:cs="宋体"/>
          <w:sz w:val="24"/>
          <w:szCs w:val="24"/>
          <w:lang w:val="en-US" w:eastAsia="zh-CN"/>
        </w:rPr>
        <w:t>本项目择优入选2家供应商</w:t>
      </w:r>
      <w:r>
        <w:rPr>
          <w:rFonts w:hint="eastAsia" w:asciiTheme="minorEastAsia" w:hAnsiTheme="minorEastAsia" w:eastAsiaTheme="minorEastAsia" w:cstheme="minorEastAsia"/>
          <w:sz w:val="24"/>
          <w:szCs w:val="24"/>
          <w:lang w:val="en-US" w:eastAsia="zh-CN"/>
        </w:rPr>
        <w:t>。</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1"/>
          <w:sz w:val="24"/>
          <w:szCs w:val="24"/>
        </w:rPr>
        <w:t>、资金来源：自筹资金。</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
          <w:sz w:val="24"/>
          <w:szCs w:val="24"/>
        </w:rPr>
        <w:t>、服务地址：采购人指定地点</w:t>
      </w:r>
    </w:p>
    <w:p>
      <w:pPr>
        <w:pStyle w:val="2"/>
        <w:spacing w:before="1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5"/>
          <w:sz w:val="24"/>
          <w:szCs w:val="24"/>
        </w:rPr>
        <w:t>、服务期限：</w:t>
      </w:r>
      <w:r>
        <w:rPr>
          <w:rFonts w:hint="eastAsia" w:asciiTheme="minorEastAsia" w:hAnsiTheme="minorEastAsia" w:eastAsiaTheme="minorEastAsia" w:cstheme="minorEastAsia"/>
          <w:spacing w:val="-5"/>
          <w:sz w:val="24"/>
          <w:szCs w:val="24"/>
          <w:lang w:val="en-US" w:eastAsia="zh-CN"/>
        </w:rPr>
        <w:t>合同签订之日起3年</w:t>
      </w:r>
      <w:r>
        <w:rPr>
          <w:rFonts w:hint="eastAsia" w:ascii="宋体" w:hAnsi="宋体" w:eastAsia="宋体" w:cs="宋体"/>
          <w:sz w:val="24"/>
          <w:szCs w:val="24"/>
        </w:rPr>
        <w:t>，合同每年签订</w:t>
      </w:r>
    </w:p>
    <w:p>
      <w:pPr>
        <w:pStyle w:val="2"/>
        <w:spacing w:before="159" w:line="364" w:lineRule="auto"/>
        <w:ind w:right="298"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上述采购要求和其他要求,仅作为供应商编制响应文件和参加磋商时之参考。通过磋商，磋商小组可以根据磋商文件和磋商情况实质性变动采购需求中的技术、服 </w:t>
      </w:r>
      <w:r>
        <w:rPr>
          <w:rFonts w:hint="eastAsia" w:asciiTheme="minorEastAsia" w:hAnsiTheme="minorEastAsia" w:eastAsiaTheme="minorEastAsia" w:cstheme="minorEastAsia"/>
          <w:spacing w:val="-1"/>
          <w:sz w:val="24"/>
          <w:szCs w:val="24"/>
        </w:rPr>
        <w:t>务要求以及合同草案条款，但不得变动磋商文件中的其他内容。实质性变动的内容，</w:t>
      </w:r>
      <w:r>
        <w:rPr>
          <w:rFonts w:hint="eastAsia" w:asciiTheme="minorEastAsia" w:hAnsiTheme="minorEastAsia" w:eastAsiaTheme="minorEastAsia" w:cstheme="minorEastAsia"/>
          <w:sz w:val="24"/>
          <w:szCs w:val="24"/>
        </w:rPr>
        <w:t>须经采购人代表确认。最终确定符合采购需求的技术指标及相关要求（实质性要求 条款不做修改</w:t>
      </w:r>
      <w:r>
        <w:rPr>
          <w:rFonts w:hint="eastAsia" w:asciiTheme="minorEastAsia" w:hAnsiTheme="minorEastAsia" w:eastAsiaTheme="minorEastAsia" w:cstheme="minorEastAsia"/>
          <w:spacing w:val="-120"/>
          <w:sz w:val="24"/>
          <w:szCs w:val="24"/>
        </w:rPr>
        <w:t>）</w:t>
      </w:r>
      <w:r>
        <w:rPr>
          <w:rFonts w:hint="eastAsia" w:asciiTheme="minorEastAsia" w:hAnsiTheme="minorEastAsia" w:eastAsiaTheme="minorEastAsia" w:cstheme="minorEastAsia"/>
          <w:sz w:val="24"/>
          <w:szCs w:val="24"/>
        </w:rPr>
        <w:t>。</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457747916"/>
      <w:bookmarkStart w:id="1" w:name="_Toc392227734"/>
      <w:bookmarkStart w:id="2" w:name="_Toc458971215"/>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458971216"/>
      <w:bookmarkStart w:id="4" w:name="_Toc392227735"/>
      <w:bookmarkStart w:id="5" w:name="_Toc457747917"/>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152045514"/>
      <w:bookmarkStart w:id="7" w:name="_Toc247527537"/>
      <w:bookmarkStart w:id="8" w:name="_Toc369531499"/>
      <w:bookmarkStart w:id="9" w:name="_Toc247513936"/>
      <w:bookmarkStart w:id="10" w:name="_Toc352691457"/>
      <w:bookmarkStart w:id="11" w:name="_Toc361508564"/>
      <w:bookmarkStart w:id="12" w:name="_Toc2312"/>
      <w:bookmarkStart w:id="13" w:name="_Toc300834931"/>
      <w:bookmarkStart w:id="14" w:name="_Toc384308189"/>
      <w:bookmarkStart w:id="15" w:name="_Toc144974482"/>
      <w:bookmarkStart w:id="16" w:name="_Toc152042290"/>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*51257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vAlign w:val="center"/>
          </w:tcPr>
          <w:p>
            <w:pPr>
              <w:spacing w:line="360" w:lineRule="auto"/>
              <w:jc w:val="left"/>
              <w:rPr>
                <w:rFonts w:hint="eastAsia" w:asciiTheme="minorEastAsia" w:hAnsiTheme="minorEastAsia" w:eastAsiaTheme="minorEastAsia" w:cstheme="minorEastAsia"/>
                <w:sz w:val="24"/>
              </w:rPr>
            </w:pPr>
            <w:r>
              <w:rPr>
                <w:rFonts w:hint="eastAsia" w:ascii="宋体" w:hAnsi="宋体" w:eastAsia="宋体" w:cs="宋体"/>
                <w:sz w:val="24"/>
                <w:szCs w:val="24"/>
              </w:rPr>
              <w:t>科普视频长期供应商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7"/>
              <w:rPr>
                <w:rFonts w:hint="eastAsia" w:asciiTheme="minorEastAsia" w:hAnsiTheme="minorEastAsia" w:eastAsiaTheme="minorEastAsia" w:cstheme="minorEastAsia"/>
                <w:b/>
                <w:sz w:val="33"/>
              </w:rPr>
            </w:pPr>
          </w:p>
          <w:p>
            <w:pPr>
              <w:pStyle w:val="19"/>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19"/>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19"/>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19"/>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19"/>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lang w:eastAsia="zh-CN"/>
              </w:rPr>
            </w:pPr>
            <w:r>
              <w:rPr>
                <w:rFonts w:hint="eastAsia" w:cs="宋体"/>
                <w:sz w:val="24"/>
                <w:szCs w:val="24"/>
                <w:lang w:val="en-US" w:eastAsia="zh-CN"/>
              </w:rPr>
              <w:t>服</w:t>
            </w:r>
            <w:bookmarkStart w:id="47" w:name="_GoBack"/>
            <w:bookmarkEnd w:id="47"/>
            <w:r>
              <w:rPr>
                <w:rFonts w:hint="eastAsia" w:ascii="宋体" w:hAnsi="宋体" w:eastAsia="宋体" w:cs="宋体"/>
                <w:sz w:val="24"/>
                <w:szCs w:val="24"/>
              </w:rPr>
              <w:t>务期限3年，合同每年签订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19"/>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b/>
                <w:sz w:val="24"/>
              </w:rPr>
            </w:pPr>
          </w:p>
          <w:p>
            <w:pPr>
              <w:pStyle w:val="19"/>
              <w:spacing w:before="2"/>
              <w:jc w:val="center"/>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供应商提交的证明其成交后能履行合同的资格证明文件应符合磋商文件要求，即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2"/>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19"/>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19"/>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19"/>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19"/>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6"/>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rPr>
                <w:rFonts w:hint="eastAsia" w:asciiTheme="minorEastAsia" w:hAnsiTheme="minorEastAsia" w:eastAsiaTheme="minorEastAsia" w:cstheme="minorEastAsia"/>
                <w:b/>
                <w:sz w:val="24"/>
              </w:rPr>
            </w:pPr>
          </w:p>
          <w:p>
            <w:pPr>
              <w:pStyle w:val="19"/>
              <w:spacing w:before="16"/>
              <w:rPr>
                <w:rFonts w:hint="eastAsia" w:asciiTheme="minorEastAsia" w:hAnsiTheme="minorEastAsia" w:eastAsiaTheme="minorEastAsia" w:cstheme="minorEastAsia"/>
                <w:b/>
                <w:sz w:val="18"/>
              </w:rPr>
            </w:pPr>
          </w:p>
          <w:p>
            <w:pPr>
              <w:pStyle w:val="19"/>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19"/>
              <w:spacing w:before="5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19"/>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19"/>
              <w:spacing w:before="13"/>
              <w:rPr>
                <w:rFonts w:hint="eastAsia" w:asciiTheme="minorEastAsia" w:hAnsiTheme="minorEastAsia" w:eastAsiaTheme="minorEastAsia" w:cstheme="minorEastAsia"/>
                <w:b/>
                <w:sz w:val="14"/>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-08-</w:t>
            </w:r>
            <w:r>
              <w:rPr>
                <w:rFonts w:hint="eastAsia" w:asciiTheme="minorEastAsia" w:hAnsiTheme="minorEastAsia" w:eastAsiaTheme="minorEastAsia" w:cstheme="minorEastAsia"/>
                <w:sz w:val="24"/>
                <w:lang w:val="en-US" w:eastAsia="zh-CN"/>
              </w:rPr>
              <w:t xml:space="preserve">30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19"/>
              <w:rPr>
                <w:rFonts w:hint="eastAsia" w:asciiTheme="minorEastAsia" w:hAnsiTheme="minorEastAsia" w:eastAsiaTheme="minorEastAsia" w:cstheme="minorEastAsia"/>
                <w:b/>
                <w:sz w:val="24"/>
              </w:rPr>
            </w:pPr>
          </w:p>
          <w:p>
            <w:pPr>
              <w:pStyle w:val="19"/>
              <w:spacing w:before="2"/>
              <w:rPr>
                <w:rFonts w:hint="eastAsia" w:asciiTheme="minorEastAsia" w:hAnsiTheme="minorEastAsia" w:eastAsiaTheme="minorEastAsia" w:cstheme="minorEastAsia"/>
                <w:b/>
                <w:sz w:val="16"/>
              </w:rPr>
            </w:pPr>
          </w:p>
          <w:p>
            <w:pPr>
              <w:pStyle w:val="19"/>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5"/>
                <w:rFonts w:hint="eastAsia" w:asciiTheme="minorEastAsia" w:hAnsiTheme="minorEastAsia" w:eastAsiaTheme="minorEastAsia" w:cstheme="minorEastAsia"/>
                <w:sz w:val="24"/>
                <w:szCs w:val="24"/>
                <w:highlight w:val="none"/>
              </w:rPr>
              <w:t>https://www.szy.sh.cn/</w:t>
            </w:r>
            <w:r>
              <w:rPr>
                <w:rStyle w:val="15"/>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19"/>
              <w:spacing w:before="7"/>
              <w:rPr>
                <w:rFonts w:hint="eastAsia" w:asciiTheme="minorEastAsia" w:hAnsiTheme="minorEastAsia" w:eastAsiaTheme="minorEastAsia" w:cstheme="minorEastAsia"/>
                <w:b/>
                <w:sz w:val="27"/>
              </w:rPr>
            </w:pPr>
          </w:p>
          <w:p>
            <w:pPr>
              <w:pStyle w:val="19"/>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5"/>
              <w:rPr>
                <w:rFonts w:hint="eastAsia" w:asciiTheme="minorEastAsia" w:hAnsiTheme="minorEastAsia" w:eastAsiaTheme="minorEastAsia" w:cstheme="minorEastAsia"/>
                <w:b/>
                <w:sz w:val="21"/>
              </w:rPr>
            </w:pPr>
          </w:p>
          <w:p>
            <w:pPr>
              <w:pStyle w:val="19"/>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19"/>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19"/>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19"/>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磋商时间、地点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供应商磋商代表必须是签署响应文件的法人代表或其委托代理人。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供应商代表本人必须参加磋商，磋商时提供法人代表委托书原件、身份证及加盖供应商公章的身份证复印件。</w:t>
            </w:r>
          </w:p>
          <w:p>
            <w:pPr>
              <w:pStyle w:val="19"/>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如供应商代表本人未出席磋商会议，将视为未实质性响应磋商文件，按无效响应处理。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19"/>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磋商小组的组建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是否授权磋商小组确定成交供应商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19"/>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19"/>
              <w:spacing w:before="16"/>
              <w:rPr>
                <w:rFonts w:hint="eastAsia" w:asciiTheme="minorEastAsia" w:hAnsiTheme="minorEastAsia" w:eastAsiaTheme="minorEastAsia" w:cstheme="minorEastAsia"/>
                <w:b/>
                <w:sz w:val="12"/>
              </w:rPr>
            </w:pPr>
          </w:p>
          <w:p>
            <w:pPr>
              <w:pStyle w:val="19"/>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19"/>
              <w:spacing w:before="13"/>
              <w:rPr>
                <w:rFonts w:hint="eastAsia" w:ascii="Malgun Gothic" w:hAnsi="Malgun Gothic" w:eastAsia="Malgun Gothic" w:cs="Malgun Gothic"/>
                <w:b/>
                <w:sz w:val="14"/>
              </w:rPr>
            </w:pPr>
          </w:p>
          <w:p>
            <w:pPr>
              <w:pStyle w:val="19"/>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19"/>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19"/>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19"/>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19"/>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19"/>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19"/>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19"/>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19"/>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z w:val="24"/>
        </w:rPr>
      </w:pPr>
      <w:r>
        <w:rPr>
          <w:rFonts w:ascii="Microsoft JhengHei" w:eastAsia="Microsoft JhengHei"/>
          <w:b/>
          <w:spacing w:val="-2"/>
          <w:sz w:val="24"/>
        </w:rPr>
        <w:t>供应商须知</w:t>
      </w:r>
    </w:p>
    <w:tbl>
      <w:tblPr>
        <w:tblStyle w:val="12"/>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根据《中华人民共和国招标投标法》、《中华人民共和国招标投标法实施条例》等有关法律、法规和规章的规定，本采购项目已具备采购条件，现对本项目采购进行竞争性磋商。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ascii="宋体" w:hAnsi="宋体"/>
                <w:szCs w:val="21"/>
              </w:rPr>
              <w:t>磋商文件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ascii="宋体" w:hAnsi="宋体"/>
                <w:szCs w:val="21"/>
              </w:rPr>
              <w:t>磋商报价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法定代表人（单位负责人）为同一人或者存在控股、管理关系的不同单位，同时参加本采购项目磋商的；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ascii="宋体" w:hAnsi="宋体"/>
                <w:szCs w:val="21"/>
              </w:rPr>
              <w:t>磋商报价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ascii="宋体" w:hAnsi="宋体"/>
                <w:szCs w:val="21"/>
              </w:rPr>
              <w:t>磋商报价</w:t>
            </w:r>
            <w:r>
              <w:rPr>
                <w:rFonts w:ascii="宋体" w:hAnsi="宋体"/>
                <w:szCs w:val="21"/>
              </w:rPr>
              <w:t>活动的各方应对</w:t>
            </w:r>
            <w:r>
              <w:rPr>
                <w:rFonts w:hint="eastAsia" w:ascii="宋体" w:hAnsi="宋体"/>
                <w:szCs w:val="21"/>
              </w:rPr>
              <w:t>磋商文件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ascii="宋体" w:hAnsi="宋体"/>
                <w:szCs w:val="21"/>
              </w:rPr>
              <w:t>磋商文件和响应文件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ascii="宋体" w:hAnsi="宋体"/>
                <w:szCs w:val="21"/>
              </w:rPr>
              <w:t>磋商文件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ascii="宋体" w:hAnsi="宋体"/>
                <w:szCs w:val="21"/>
              </w:rPr>
              <w:t>磋商文件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ascii="宋体" w:hAnsi="宋体"/>
                <w:szCs w:val="21"/>
              </w:rPr>
              <w:t>磋商文件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ascii="宋体" w:hAnsi="宋体"/>
                <w:szCs w:val="21"/>
              </w:rPr>
              <w:t>磋商文件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ascii="宋体" w:hAnsi="宋体"/>
                <w:szCs w:val="21"/>
              </w:rPr>
              <w:t>磋商文件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ascii="宋体" w:hAnsi="宋体"/>
                <w:szCs w:val="21"/>
              </w:rPr>
              <w:t>磋商文件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构成磋商文件组成部分的“合同格式”和“技术规格及要求”等章节中出现的措辞“买方”、“甲方”和“卖方”、“乙方”、“成交供应商”在磋商报价阶段应当分别按“采购人”和“供应商”进行理解。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ascii="宋体" w:hAnsi="宋体"/>
                <w:b/>
                <w:bCs/>
                <w:szCs w:val="21"/>
              </w:rPr>
              <w:t>磋商文件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ascii="宋体" w:hAnsi="宋体"/>
                <w:szCs w:val="21"/>
              </w:rPr>
              <w:t>磋商文件</w:t>
            </w:r>
            <w:r>
              <w:rPr>
                <w:rFonts w:ascii="宋体" w:hAnsi="宋体"/>
                <w:szCs w:val="21"/>
              </w:rPr>
              <w:t>所作的澄清、修改，</w:t>
            </w:r>
            <w:r>
              <w:rPr>
                <w:rFonts w:hint="eastAsia" w:ascii="宋体" w:hAnsi="宋体"/>
                <w:szCs w:val="21"/>
              </w:rPr>
              <w:t>作为补充磋商文件，</w:t>
            </w:r>
            <w:r>
              <w:rPr>
                <w:rFonts w:ascii="宋体" w:hAnsi="宋体"/>
                <w:szCs w:val="21"/>
              </w:rPr>
              <w:t>构成</w:t>
            </w:r>
            <w:r>
              <w:rPr>
                <w:rFonts w:hint="eastAsia" w:ascii="宋体" w:hAnsi="宋体"/>
                <w:szCs w:val="21"/>
              </w:rPr>
              <w:t>磋商文件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磋商文件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ascii="宋体" w:hAnsi="宋体"/>
                <w:szCs w:val="21"/>
              </w:rPr>
              <w:t>磋商文件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ascii="宋体" w:hAnsi="宋体"/>
                <w:szCs w:val="21"/>
              </w:rPr>
              <w:t>磋商文件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ascii="宋体" w:hAnsi="宋体"/>
                <w:szCs w:val="21"/>
              </w:rPr>
              <w:t>磋商文件</w:t>
            </w:r>
            <w:r>
              <w:rPr>
                <w:rFonts w:ascii="宋体" w:hAnsi="宋体"/>
                <w:szCs w:val="21"/>
              </w:rPr>
              <w:t>的澄清以书面形式发给所有购买</w:t>
            </w:r>
            <w:r>
              <w:rPr>
                <w:rFonts w:hint="eastAsia" w:ascii="宋体" w:hAnsi="宋体"/>
                <w:szCs w:val="21"/>
              </w:rPr>
              <w:t>磋商文件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本磋商文件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rPr>
              <w:t>磋商</w:t>
            </w:r>
            <w:r>
              <w:rPr>
                <w:rFonts w:ascii="ˎ̥" w:hAnsi="ˎ̥"/>
                <w:color w:val="000000"/>
                <w:szCs w:val="21"/>
              </w:rPr>
              <w:t>小组可以对已发出的磋商文件进行必要的澄清或者修改，澄清或者修改的内容作为磋商文件的组成部分。澄清或者修改的内容可能影响响应文件编制的，采购人、采购代理机构或者</w:t>
            </w:r>
            <w:r>
              <w:rPr>
                <w:rFonts w:hint="eastAsia" w:ascii="ˎ̥" w:hAnsi="ˎ̥"/>
                <w:color w:val="000000"/>
                <w:szCs w:val="21"/>
              </w:rPr>
              <w:t>磋商</w:t>
            </w:r>
            <w:r>
              <w:rPr>
                <w:rFonts w:ascii="ˎ̥" w:hAnsi="ˎ̥"/>
                <w:color w:val="000000"/>
                <w:szCs w:val="21"/>
              </w:rPr>
              <w:t>小组应当在提交首次响应文件截止之日3个工作日前，以书面形式通知所有接收磋商文件的供应商，不足3个工作日的，应当顺延提交首次响应文件截止之日。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应及时向采购代理机构办理签收手续或以书面方式确认其收到；否则，供应商将被视为已理解并接受磋商文件及补充磋商文件的所有内容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ascii="宋体" w:hAnsi="宋体"/>
                <w:szCs w:val="21"/>
              </w:rPr>
              <w:t>磋商响应函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联合体协议书（磋商文件如允许联合体的话）；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ascii="宋体" w:hAnsi="宋体"/>
                <w:szCs w:val="21"/>
              </w:rPr>
              <w:t>磋商响应函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ascii="宋体" w:hAnsi="宋体"/>
                <w:szCs w:val="21"/>
              </w:rPr>
              <w:t>磋商响应函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若供应商的报价一览表报价与磋商响应函报价不一致，磋商时以其报价一览表报价为准，其评审价格由磋商小组根据评审办法进行认定。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ascii="宋体" w:hAnsi="宋体"/>
                <w:szCs w:val="21"/>
              </w:rPr>
              <w:t>磋商文件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ascii="宋体" w:hAnsi="宋体"/>
                <w:szCs w:val="21"/>
              </w:rPr>
              <w:t>磋商文件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ascii="宋体" w:hAnsi="宋体"/>
                <w:szCs w:val="21"/>
              </w:rPr>
              <w:t>磋商小组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ascii="宋体" w:hAnsi="宋体"/>
                <w:szCs w:val="21"/>
              </w:rPr>
              <w:t>磋商文件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ascii="宋体" w:hAnsi="宋体"/>
                <w:szCs w:val="21"/>
              </w:rPr>
              <w:t>磋商响应函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6"/>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响应文件未按照磋商文件要求密封的。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供应商必须保证响应文件内容的真实性，采购人或磋商小组保留进一步核查响应文件内容原件的权力，对于弄虚作假的行为，供应商将自行承担由此而引起的各种法律后果和责任。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b/>
                <w:szCs w:val="21"/>
              </w:rPr>
            </w:pPr>
            <w:r>
              <w:rPr>
                <w:rFonts w:hint="eastAsia" w:ascii="宋体" w:hAnsi="宋体"/>
                <w:b/>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ascii="宋体" w:hAnsi="宋体"/>
                <w:b/>
                <w:szCs w:val="21"/>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ascii="宋体" w:hAnsi="宋体"/>
                <w:b/>
                <w:szCs w:val="21"/>
              </w:rPr>
              <w:t>磋商顺序：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ascii="宋体" w:hAnsi="宋体"/>
                <w:szCs w:val="21"/>
              </w:rPr>
              <w:t>磋商小组</w:t>
            </w:r>
            <w:r>
              <w:rPr>
                <w:rFonts w:ascii="宋体" w:hAnsi="宋体"/>
                <w:szCs w:val="21"/>
              </w:rPr>
              <w:t>负责。</w:t>
            </w:r>
            <w:r>
              <w:rPr>
                <w:rFonts w:hint="eastAsia" w:ascii="宋体" w:hAnsi="宋体"/>
                <w:szCs w:val="21"/>
              </w:rPr>
              <w:t>磋商小组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磋商小组对响应文件进行资格性符合性审查，确定实质性响应磋商文件要求的供应商。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color w:val="000000"/>
                <w:szCs w:val="21"/>
              </w:rPr>
            </w:pPr>
            <w:r>
              <w:rPr>
                <w:rFonts w:hint="eastAsia" w:ascii="ˎ̥" w:hAnsi="ˎ̥"/>
                <w:b/>
                <w:bCs/>
                <w:color w:val="000000"/>
                <w:szCs w:val="21"/>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磋商小组只与被确定为实质性响应磋商文件要求的供应商进行磋商。未实质性响应磋商文件的响应文件按无效处理，磋商小组应当告知有关供应商。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ascii="ˎ̥" w:hAnsi="ˎ̥"/>
                <w:color w:val="000000"/>
                <w:szCs w:val="21"/>
              </w:rPr>
              <w:t>磋商小组所有成员应当集中与单一供应商分别进行磋商，并给予所有参加磋商的供应商平等的磋商机会。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宋体" w:hAnsi="宋体"/>
                <w:szCs w:val="21"/>
              </w:rPr>
              <w:t>磋商结束后，所有继续参加磋商的供应商在规定时间内提交最后报价。最后报价是供应商响应文件的有效组成部分。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除供应商须知前附表规定磋商小组直接确定成交供应商外，磋商小组应当向采购人提交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ascii="ˎ̥" w:hAnsi="ˎ̥"/>
                <w:color w:val="000000"/>
                <w:szCs w:val="21"/>
              </w:rPr>
              <w:t>磋商小组应当根据评审记录和评审结果编写评审报告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ascii="ˎ̥" w:hAnsi="ˎ̥"/>
                <w:color w:val="000000"/>
                <w:szCs w:val="21"/>
              </w:rPr>
              <w:t>磋商小组成员以及与评审工作有关的人员不得泄露评审情况以及评审过程中获悉的国家秘密、商业秘密。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ascii="宋体" w:hAnsi="宋体"/>
                <w:szCs w:val="21"/>
              </w:rPr>
              <w:t>磋商小组</w:t>
            </w:r>
            <w:r>
              <w:rPr>
                <w:rFonts w:ascii="宋体" w:hAnsi="宋体"/>
                <w:szCs w:val="21"/>
              </w:rPr>
              <w:t>按照</w:t>
            </w:r>
            <w:r>
              <w:rPr>
                <w:rFonts w:hint="eastAsia" w:ascii="宋体" w:hAnsi="宋体"/>
                <w:szCs w:val="21"/>
              </w:rPr>
              <w:t>磋商文件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ascii="宋体" w:hAnsi="宋体"/>
                <w:szCs w:val="21"/>
              </w:rPr>
              <w:t>磋商小组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ascii="宋体" w:hAnsi="宋体"/>
                <w:szCs w:val="21"/>
              </w:rPr>
              <w:t>磋商文件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ascii="宋体" w:hAnsi="宋体"/>
                <w:szCs w:val="21"/>
              </w:rPr>
              <w:t>磋商文件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ascii="宋体" w:hAnsi="宋体"/>
                <w:szCs w:val="21"/>
              </w:rPr>
              <w:t>磋商小组推荐成交候选人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本磋商文件约束条件与采购人授予成交供应商合同中法律有效期同时终止。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供应商在购买磋商文件并递交响应文件、进行磋商后，即表示无条件接受本磋商文件所有条款的约束。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ascii="宋体" w:hAnsi="宋体" w:cs="宋体"/>
                <w:kern w:val="0"/>
                <w:szCs w:val="21"/>
              </w:rPr>
              <w:t>磋商文件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392227805"/>
      <w:bookmarkStart w:id="18" w:name="_Toc457747979"/>
      <w:bookmarkStart w:id="19" w:name="_Toc458971236"/>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5"/>
        </w:numPr>
        <w:adjustRightInd w:val="0"/>
        <w:snapToGrid w:val="0"/>
        <w:spacing w:line="360" w:lineRule="auto"/>
        <w:jc w:val="center"/>
        <w:rPr>
          <w:rFonts w:hint="eastAsia" w:ascii="宋体" w:hAnsi="宋体"/>
          <w:b/>
          <w:bCs/>
          <w:sz w:val="28"/>
          <w:szCs w:val="28"/>
        </w:rPr>
      </w:pPr>
      <w:r>
        <w:rPr>
          <w:rFonts w:hint="eastAsia" w:ascii="宋体" w:hAnsi="宋体"/>
          <w:b/>
          <w:kern w:val="44"/>
          <w:sz w:val="32"/>
          <w:szCs w:val="32"/>
          <w:lang w:val="en-US" w:eastAsia="zh-CN"/>
        </w:rPr>
        <w:t xml:space="preserve"> </w:t>
      </w:r>
      <w:r>
        <w:rPr>
          <w:rFonts w:hint="eastAsia" w:ascii="宋体" w:hAnsi="宋体"/>
          <w:b/>
          <w:kern w:val="44"/>
          <w:sz w:val="28"/>
          <w:szCs w:val="28"/>
          <w:lang w:val="en-US" w:eastAsia="zh-CN"/>
        </w:rPr>
        <w:t xml:space="preserve"> </w:t>
      </w:r>
      <w:bookmarkEnd w:id="17"/>
      <w:bookmarkEnd w:id="18"/>
      <w:bookmarkEnd w:id="19"/>
      <w:r>
        <w:rPr>
          <w:rFonts w:hint="eastAsia" w:ascii="宋体" w:hAnsi="宋体"/>
          <w:b/>
          <w:bCs/>
          <w:sz w:val="28"/>
          <w:szCs w:val="28"/>
        </w:rPr>
        <w:t>采购需求</w:t>
      </w:r>
    </w:p>
    <w:p>
      <w:pPr>
        <w:pStyle w:val="7"/>
        <w:adjustRightInd w:val="0"/>
        <w:snapToGrid w:val="0"/>
        <w:spacing w:line="360" w:lineRule="auto"/>
        <w:ind w:firstLine="472" w:firstLineChars="196"/>
        <w:outlineLvl w:val="0"/>
        <w:rPr>
          <w:rFonts w:hAnsi="宋体"/>
          <w:b/>
          <w:sz w:val="24"/>
        </w:rPr>
      </w:pPr>
      <w:r>
        <w:rPr>
          <w:rFonts w:hint="eastAsia" w:hAnsi="宋体"/>
          <w:b/>
          <w:sz w:val="24"/>
        </w:rPr>
        <w:t>一、项目概述、服务范围、内容及目标要求</w:t>
      </w:r>
    </w:p>
    <w:p>
      <w:pPr>
        <w:adjustRightInd w:val="0"/>
        <w:snapToGrid w:val="0"/>
        <w:spacing w:line="360" w:lineRule="auto"/>
        <w:ind w:firstLine="720" w:firstLineChars="300"/>
        <w:rPr>
          <w:rFonts w:hint="eastAsia" w:ascii="宋体" w:hAnsi="宋体"/>
          <w:sz w:val="24"/>
        </w:rPr>
      </w:pPr>
      <w:r>
        <w:rPr>
          <w:rFonts w:hint="eastAsia" w:ascii="宋体" w:hAnsi="宋体"/>
          <w:sz w:val="24"/>
        </w:rPr>
        <w:t>入围供应商数量：2家</w:t>
      </w:r>
    </w:p>
    <w:p>
      <w:pPr>
        <w:spacing w:line="360" w:lineRule="auto"/>
        <w:ind w:left="480" w:leftChars="218" w:firstLine="120" w:firstLineChars="5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基本情况</w:t>
      </w:r>
    </w:p>
    <w:p>
      <w:pPr>
        <w:adjustRightInd w:val="0"/>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上海市中医医院</w:t>
      </w:r>
      <w:r>
        <w:rPr>
          <w:rFonts w:hint="eastAsia" w:ascii="宋体" w:hAnsi="宋体" w:eastAsia="宋体" w:cs="宋体"/>
          <w:sz w:val="24"/>
          <w:szCs w:val="24"/>
        </w:rPr>
        <w:t>创建于</w:t>
      </w:r>
      <w:r>
        <w:rPr>
          <w:rFonts w:ascii="宋体" w:hAnsi="宋体" w:eastAsia="宋体" w:cs="宋体"/>
          <w:sz w:val="24"/>
          <w:szCs w:val="24"/>
        </w:rPr>
        <w:t xml:space="preserve"> 1954 年，是一所集医</w:t>
      </w:r>
      <w:r>
        <w:rPr>
          <w:rFonts w:hint="eastAsia" w:ascii="宋体" w:hAnsi="宋体" w:eastAsia="宋体" w:cs="宋体"/>
          <w:sz w:val="24"/>
          <w:szCs w:val="24"/>
        </w:rPr>
        <w:t>疗、教学、科研为一体的三级</w:t>
      </w:r>
      <w:r>
        <w:rPr>
          <w:rFonts w:ascii="宋体" w:hAnsi="宋体" w:eastAsia="宋体" w:cs="宋体"/>
          <w:sz w:val="24"/>
          <w:szCs w:val="24"/>
        </w:rPr>
        <w:t xml:space="preserve"> 甲等</w:t>
      </w:r>
      <w:r>
        <w:rPr>
          <w:rFonts w:hint="eastAsia" w:ascii="宋体" w:hAnsi="宋体" w:eastAsia="宋体" w:cs="宋体"/>
          <w:sz w:val="24"/>
          <w:szCs w:val="24"/>
        </w:rPr>
        <w:t>综合性中医医院。医院开放床位</w:t>
      </w:r>
      <w:r>
        <w:rPr>
          <w:rFonts w:ascii="宋体" w:hAnsi="宋体" w:eastAsia="宋体" w:cs="宋体"/>
          <w:sz w:val="24"/>
          <w:szCs w:val="24"/>
        </w:rPr>
        <w:t xml:space="preserve"> 900 </w:t>
      </w:r>
      <w:r>
        <w:rPr>
          <w:rFonts w:hint="eastAsia" w:ascii="宋体" w:hAnsi="宋体" w:eastAsia="宋体" w:cs="宋体"/>
          <w:sz w:val="24"/>
          <w:szCs w:val="24"/>
        </w:rPr>
        <w:t>张，职工</w:t>
      </w:r>
      <w:r>
        <w:rPr>
          <w:rFonts w:ascii="宋体" w:hAnsi="宋体" w:eastAsia="宋体" w:cs="宋体"/>
          <w:sz w:val="24"/>
          <w:szCs w:val="24"/>
        </w:rPr>
        <w:t xml:space="preserve"> 1400 余人，年</w:t>
      </w:r>
      <w:r>
        <w:rPr>
          <w:rFonts w:hint="eastAsia" w:ascii="宋体" w:hAnsi="宋体" w:eastAsia="宋体" w:cs="宋体"/>
          <w:sz w:val="24"/>
          <w:szCs w:val="24"/>
        </w:rPr>
        <w:t>门诊人次</w:t>
      </w:r>
      <w:r>
        <w:rPr>
          <w:rFonts w:ascii="宋体" w:hAnsi="宋体" w:eastAsia="宋体" w:cs="宋体"/>
          <w:sz w:val="24"/>
          <w:szCs w:val="24"/>
        </w:rPr>
        <w:t xml:space="preserve"> 220 万余，年出院人次 3.7 万余。上海市中医医院是新中国成立后的首批省市</w:t>
      </w:r>
      <w:r>
        <w:rPr>
          <w:rFonts w:hint="eastAsia" w:ascii="宋体" w:hAnsi="宋体" w:eastAsia="宋体" w:cs="宋体"/>
          <w:sz w:val="24"/>
          <w:szCs w:val="24"/>
        </w:rPr>
        <w:t>级中医</w:t>
      </w:r>
      <w:r>
        <w:rPr>
          <w:rFonts w:ascii="宋体" w:hAnsi="宋体" w:eastAsia="宋体" w:cs="宋体"/>
          <w:sz w:val="24"/>
          <w:szCs w:val="24"/>
        </w:rPr>
        <w:t xml:space="preserve"> 医</w:t>
      </w:r>
      <w:r>
        <w:rPr>
          <w:rFonts w:hint="eastAsia" w:ascii="宋体" w:hAnsi="宋体" w:eastAsia="宋体" w:cs="宋体"/>
          <w:sz w:val="24"/>
          <w:szCs w:val="24"/>
        </w:rPr>
        <w:t>疗机构，</w:t>
      </w:r>
      <w:r>
        <w:rPr>
          <w:rFonts w:ascii="宋体" w:hAnsi="宋体" w:eastAsia="宋体" w:cs="宋体"/>
          <w:sz w:val="24"/>
          <w:szCs w:val="24"/>
        </w:rPr>
        <w:t>1954 年医院前身上海市立中医</w:t>
      </w:r>
      <w:r>
        <w:rPr>
          <w:rFonts w:hint="eastAsia" w:ascii="宋体" w:hAnsi="宋体" w:eastAsia="宋体" w:cs="宋体"/>
          <w:sz w:val="24"/>
          <w:szCs w:val="24"/>
        </w:rPr>
        <w:t>门诊部成立，</w:t>
      </w:r>
      <w:r>
        <w:rPr>
          <w:rFonts w:ascii="宋体" w:hAnsi="宋体" w:eastAsia="宋体" w:cs="宋体"/>
          <w:sz w:val="24"/>
          <w:szCs w:val="24"/>
        </w:rPr>
        <w:t>1979 年更名</w:t>
      </w:r>
      <w:r>
        <w:rPr>
          <w:rFonts w:hint="eastAsia" w:ascii="宋体" w:hAnsi="宋体" w:eastAsia="宋体" w:cs="宋体"/>
          <w:sz w:val="24"/>
          <w:szCs w:val="24"/>
        </w:rPr>
        <w:t>为上海市中</w:t>
      </w:r>
      <w:r>
        <w:rPr>
          <w:rFonts w:ascii="宋体" w:hAnsi="宋体" w:eastAsia="宋体" w:cs="宋体"/>
          <w:sz w:val="24"/>
          <w:szCs w:val="24"/>
        </w:rPr>
        <w:t xml:space="preserve"> 医医院，1993 年被</w:t>
      </w:r>
      <w:r>
        <w:rPr>
          <w:rFonts w:hint="eastAsia" w:ascii="宋体" w:hAnsi="宋体" w:eastAsia="宋体" w:cs="宋体"/>
          <w:sz w:val="24"/>
          <w:szCs w:val="24"/>
        </w:rPr>
        <w:t>评为三级甲等中医医院，</w:t>
      </w:r>
      <w:r>
        <w:rPr>
          <w:rFonts w:ascii="宋体" w:hAnsi="宋体" w:eastAsia="宋体" w:cs="宋体"/>
          <w:sz w:val="24"/>
          <w:szCs w:val="24"/>
        </w:rPr>
        <w:t>1997 年与上海市中医</w:t>
      </w:r>
      <w:r>
        <w:rPr>
          <w:rFonts w:hint="eastAsia" w:ascii="宋体" w:hAnsi="宋体" w:eastAsia="宋体" w:cs="宋体"/>
          <w:sz w:val="24"/>
          <w:szCs w:val="24"/>
        </w:rPr>
        <w:t>门诊部合并，</w:t>
      </w:r>
      <w:r>
        <w:rPr>
          <w:rFonts w:ascii="宋体" w:hAnsi="宋体" w:eastAsia="宋体" w:cs="宋体"/>
          <w:sz w:val="24"/>
          <w:szCs w:val="24"/>
        </w:rPr>
        <w:t xml:space="preserve"> 2005 年成</w:t>
      </w:r>
      <w:r>
        <w:rPr>
          <w:rFonts w:hint="eastAsia" w:ascii="宋体" w:hAnsi="宋体" w:eastAsia="宋体" w:cs="宋体"/>
          <w:sz w:val="24"/>
          <w:szCs w:val="24"/>
        </w:rPr>
        <w:t>为上海中医药大学非直属附属医院，</w:t>
      </w:r>
      <w:r>
        <w:rPr>
          <w:rFonts w:ascii="宋体" w:hAnsi="宋体" w:eastAsia="宋体" w:cs="宋体"/>
          <w:sz w:val="24"/>
          <w:szCs w:val="24"/>
        </w:rPr>
        <w:t>2024 年 1 月嘉定院区正式启用， 医院正式开启“一院三址”高</w:t>
      </w:r>
      <w:r>
        <w:rPr>
          <w:rFonts w:hint="eastAsia" w:ascii="宋体" w:hAnsi="宋体" w:eastAsia="宋体" w:cs="宋体"/>
          <w:sz w:val="24"/>
          <w:szCs w:val="24"/>
        </w:rPr>
        <w:t>质量发展新阶段</w:t>
      </w:r>
      <w:r>
        <w:rPr>
          <w:rFonts w:ascii="宋体" w:hAnsi="宋体" w:eastAsia="宋体" w:cs="宋体"/>
          <w:sz w:val="24"/>
          <w:szCs w:val="24"/>
        </w:rPr>
        <w:t>。</w:t>
      </w:r>
    </w:p>
    <w:p>
      <w:pPr>
        <w:adjustRightInd w:val="0"/>
        <w:snapToGrid w:val="0"/>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供应商要求</w:t>
      </w:r>
    </w:p>
    <w:p>
      <w:pPr>
        <w:spacing w:line="360" w:lineRule="auto"/>
        <w:ind w:left="240" w:hanging="240" w:hangingChars="100"/>
        <w:rPr>
          <w:rFonts w:ascii="宋体" w:hAnsi="宋体" w:eastAsia="宋体" w:cs="宋体"/>
          <w:sz w:val="24"/>
          <w:szCs w:val="24"/>
        </w:rPr>
      </w:pPr>
      <w:r>
        <w:rPr>
          <w:rFonts w:ascii="宋体" w:hAnsi="宋体" w:eastAsia="宋体" w:cs="宋体"/>
          <w:sz w:val="24"/>
          <w:szCs w:val="24"/>
        </w:rPr>
        <w:tab/>
      </w:r>
      <w:r>
        <w:rPr>
          <w:rFonts w:hint="eastAsia" w:ascii="宋体" w:hAnsi="宋体" w:eastAsia="宋体" w:cs="宋体"/>
          <w:sz w:val="24"/>
          <w:szCs w:val="24"/>
        </w:rPr>
        <w:t>供应商应具有履行合同所必须的拍摄、剪辑、后期制作能力，在上海地区设有售后维护、服务机构。</w:t>
      </w:r>
    </w:p>
    <w:p>
      <w:pPr>
        <w:spacing w:line="360" w:lineRule="auto"/>
        <w:ind w:left="480" w:leftChars="218" w:firstLine="120" w:firstLineChars="5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服务要求</w:t>
      </w:r>
    </w:p>
    <w:p>
      <w:pPr>
        <w:spacing w:line="360" w:lineRule="auto"/>
        <w:ind w:left="240" w:leftChars="109" w:firstLine="240" w:firstLineChars="1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、制作范围：</w:t>
      </w:r>
      <w:r>
        <w:rPr>
          <w:rFonts w:hint="eastAsia" w:ascii="宋体" w:hAnsi="宋体" w:eastAsia="宋体"/>
          <w:sz w:val="24"/>
          <w:szCs w:val="24"/>
        </w:rPr>
        <w:t>科普视频制作类服务。包含策划、脚本撰写、拍摄、剪辑、后期制作、成品提供、宣传片素材收集整理和版权获得以及其他售后服务等。</w:t>
      </w:r>
    </w:p>
    <w:p>
      <w:pPr>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、具备根据医院需求，策划、拍摄、制作的能力，对所需制作内容及售后服务及时响应（一般情况应在</w:t>
      </w:r>
      <w:r>
        <w:rPr>
          <w:rFonts w:ascii="宋体" w:hAnsi="宋体" w:eastAsia="宋体" w:cs="宋体"/>
          <w:sz w:val="24"/>
          <w:szCs w:val="24"/>
        </w:rPr>
        <w:t>24</w:t>
      </w:r>
      <w:r>
        <w:rPr>
          <w:rFonts w:hint="eastAsia" w:ascii="宋体" w:hAnsi="宋体" w:eastAsia="宋体" w:cs="宋体"/>
          <w:sz w:val="24"/>
          <w:szCs w:val="24"/>
        </w:rPr>
        <w:t>小时内响应，紧急情况需在</w:t>
      </w:r>
      <w:r>
        <w:rPr>
          <w:rFonts w:ascii="宋体" w:hAnsi="宋体" w:eastAsia="宋体" w:cs="宋体"/>
          <w:sz w:val="24"/>
          <w:szCs w:val="24"/>
        </w:rPr>
        <w:t>1</w:t>
      </w:r>
      <w:r>
        <w:rPr>
          <w:rFonts w:hint="eastAsia" w:ascii="宋体" w:hAnsi="宋体" w:eastAsia="宋体" w:cs="宋体"/>
          <w:sz w:val="24"/>
          <w:szCs w:val="24"/>
        </w:rPr>
        <w:t>小时内到位）。</w:t>
      </w:r>
    </w:p>
    <w:p>
      <w:pPr>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rPr>
        <w:t>3</w:t>
      </w:r>
      <w:r>
        <w:rPr>
          <w:rFonts w:hint="eastAsia" w:ascii="宋体" w:hAnsi="宋体" w:eastAsia="宋体"/>
          <w:sz w:val="24"/>
          <w:szCs w:val="24"/>
        </w:rPr>
        <w:t>、</w:t>
      </w:r>
      <w:r>
        <w:rPr>
          <w:rFonts w:ascii="宋体" w:hAnsi="宋体" w:eastAsia="宋体"/>
          <w:sz w:val="24"/>
          <w:szCs w:val="24"/>
        </w:rPr>
        <w:t>能协助制作科普相关推文</w:t>
      </w:r>
      <w:r>
        <w:rPr>
          <w:rFonts w:hint="eastAsia" w:ascii="宋体" w:hAnsi="宋体" w:eastAsia="宋体"/>
          <w:sz w:val="24"/>
          <w:szCs w:val="24"/>
        </w:rPr>
        <w:t>。</w:t>
      </w:r>
    </w:p>
    <w:p>
      <w:pPr>
        <w:pStyle w:val="2"/>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交付</w:t>
      </w:r>
      <w:r>
        <w:rPr>
          <w:rFonts w:hint="eastAsia" w:ascii="宋体" w:hAnsi="宋体" w:eastAsia="宋体"/>
          <w:sz w:val="24"/>
          <w:szCs w:val="24"/>
        </w:rPr>
        <w:t>时需提供视频制作成片及所有视频素材。</w:t>
      </w:r>
    </w:p>
    <w:p>
      <w:pPr>
        <w:spacing w:line="360" w:lineRule="auto"/>
        <w:ind w:left="480" w:leftChars="218" w:firstLine="120" w:firstLineChars="50"/>
        <w:rPr>
          <w:rFonts w:hint="eastAsia" w:ascii="宋体" w:hAnsi="宋体" w:eastAsia="宋体" w:cs="宋体"/>
          <w:sz w:val="24"/>
          <w:szCs w:val="24"/>
          <w:lang w:eastAsia="zh-CN"/>
        </w:rPr>
      </w:pPr>
    </w:p>
    <w:p>
      <w:pPr>
        <w:spacing w:line="360" w:lineRule="auto"/>
        <w:ind w:left="480" w:leftChars="218" w:firstLine="120" w:firstLineChars="5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报价要求：</w:t>
      </w:r>
    </w:p>
    <w:p>
      <w:pPr>
        <w:spacing w:line="360" w:lineRule="auto"/>
        <w:ind w:left="360" w:leftChars="109" w:hanging="120" w:hangingChars="50"/>
        <w:rPr>
          <w:rFonts w:ascii="宋体" w:hAnsi="宋体" w:eastAsia="宋体" w:cs="宋体"/>
          <w:sz w:val="24"/>
          <w:szCs w:val="24"/>
        </w:rPr>
      </w:pPr>
      <w:r>
        <w:rPr>
          <w:rFonts w:hint="eastAsia" w:ascii="宋体" w:hAnsi="宋体" w:eastAsia="宋体" w:cs="宋体"/>
          <w:sz w:val="24"/>
          <w:szCs w:val="24"/>
        </w:rPr>
        <w:t>科普视频拍摄制作按每分钟报价。</w:t>
      </w:r>
    </w:p>
    <w:p>
      <w:pPr>
        <w:spacing w:line="360" w:lineRule="auto"/>
        <w:ind w:left="360" w:leftChars="109" w:hanging="120" w:hangingChars="50"/>
        <w:rPr>
          <w:rFonts w:ascii="宋体" w:hAnsi="宋体" w:eastAsia="宋体" w:cs="宋体"/>
          <w:sz w:val="24"/>
          <w:szCs w:val="24"/>
        </w:rPr>
      </w:pPr>
      <w:r>
        <w:rPr>
          <w:rFonts w:hint="eastAsia" w:ascii="宋体" w:hAnsi="宋体" w:eastAsia="宋体" w:cs="宋体"/>
          <w:sz w:val="24"/>
          <w:szCs w:val="24"/>
        </w:rPr>
        <w:t>（含税金，视频拍摄制作过程中发生的设备费、包装费、运杂费、材料费、人工费、保险费、利润及视频拍摄制作过程中的风险等一切费用）</w:t>
      </w:r>
    </w:p>
    <w:p>
      <w:pPr>
        <w:spacing w:line="360" w:lineRule="auto"/>
        <w:ind w:left="360" w:leftChars="109" w:hanging="120" w:hangingChars="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★注：实际制作以最终医院要求为准，结算价格按照投标价格执行。</w:t>
      </w:r>
    </w:p>
    <w:p>
      <w:pPr>
        <w:pStyle w:val="2"/>
        <w:rPr>
          <w:rFonts w:hint="eastAsia" w:ascii="宋体" w:hAnsi="宋体" w:eastAsia="宋体"/>
          <w:sz w:val="24"/>
          <w:szCs w:val="24"/>
        </w:rPr>
      </w:pPr>
    </w:p>
    <w:p>
      <w:pPr>
        <w:pStyle w:val="2"/>
      </w:pPr>
    </w:p>
    <w:p>
      <w:pPr>
        <w:pStyle w:val="2"/>
        <w:numPr>
          <w:ilvl w:val="0"/>
          <w:numId w:val="0"/>
        </w:numPr>
        <w:ind w:right="0" w:rightChars="0"/>
      </w:pPr>
    </w:p>
    <w:p>
      <w:pPr>
        <w:numPr>
          <w:ilvl w:val="0"/>
          <w:numId w:val="0"/>
        </w:numPr>
        <w:spacing w:line="360" w:lineRule="auto"/>
        <w:ind w:right="0" w:rightChars="0"/>
        <w:jc w:val="center"/>
        <w:rPr>
          <w:rFonts w:ascii="宋体" w:hAnsi="宋体"/>
          <w:b/>
          <w:kern w:val="44"/>
          <w:sz w:val="32"/>
          <w:szCs w:val="32"/>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spacing w:before="0"/>
        <w:ind w:left="448" w:right="0" w:firstLine="0"/>
        <w:jc w:val="left"/>
        <w:rPr>
          <w:rFonts w:hint="eastAsia" w:ascii="宋体" w:hAnsi="宋体" w:eastAsia="宋体" w:cs="宋体"/>
          <w:b/>
          <w:spacing w:val="1"/>
          <w:sz w:val="21"/>
          <w:szCs w:val="21"/>
        </w:rPr>
      </w:pPr>
    </w:p>
    <w:p>
      <w:pPr>
        <w:numPr>
          <w:ilvl w:val="0"/>
          <w:numId w:val="5"/>
        </w:numPr>
        <w:adjustRightInd w:val="0"/>
        <w:snapToGrid w:val="0"/>
        <w:spacing w:line="360" w:lineRule="auto"/>
        <w:ind w:left="0" w:leftChars="0" w:firstLine="0" w:firstLineChars="0"/>
        <w:jc w:val="center"/>
        <w:rPr>
          <w:rFonts w:hint="eastAsia" w:asciiTheme="minorEastAsia" w:hAnsiTheme="minorEastAsia" w:eastAsiaTheme="minorEastAsia"/>
          <w:b/>
          <w:sz w:val="24"/>
        </w:rPr>
      </w:pPr>
      <w:r>
        <w:rPr>
          <w:rFonts w:hint="eastAsia" w:asciiTheme="minorEastAsia" w:hAnsiTheme="minorEastAsia" w:eastAsiaTheme="minorEastAsia"/>
          <w:b/>
          <w:sz w:val="24"/>
        </w:rPr>
        <w:t xml:space="preserve">  评审方法与程序</w:t>
      </w:r>
    </w:p>
    <w:p>
      <w:pPr>
        <w:numPr>
          <w:ilvl w:val="0"/>
          <w:numId w:val="0"/>
        </w:numPr>
        <w:adjustRightInd w:val="0"/>
        <w:snapToGrid w:val="0"/>
        <w:spacing w:line="360" w:lineRule="auto"/>
        <w:ind w:leftChars="0" w:right="0" w:rightChars="0" w:firstLine="638" w:firstLineChars="300"/>
        <w:jc w:val="both"/>
        <w:rPr>
          <w:rFonts w:hint="eastAsia" w:ascii="宋体" w:hAnsi="宋体" w:eastAsia="宋体" w:cs="宋体"/>
          <w:b/>
          <w:sz w:val="21"/>
          <w:szCs w:val="21"/>
        </w:rPr>
      </w:pPr>
      <w:r>
        <w:rPr>
          <w:rFonts w:hint="eastAsia" w:ascii="宋体" w:hAnsi="宋体" w:eastAsia="宋体" w:cs="宋体"/>
          <w:b/>
          <w:spacing w:val="1"/>
          <w:sz w:val="21"/>
          <w:szCs w:val="21"/>
        </w:rPr>
        <w:t>一、响应无效情形</w:t>
      </w:r>
    </w:p>
    <w:p>
      <w:pPr>
        <w:pStyle w:val="2"/>
        <w:spacing w:before="105"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1、磋商小组将按照《供应商须知》以及《资格条件及实质性要求响应表》要求对响应文件进行初审，响应文件不符合《资格条件及实质性要求响应表》所列任何情形之一的，将被认定为无效响应。</w:t>
      </w:r>
    </w:p>
    <w:p>
      <w:pPr>
        <w:pStyle w:val="2"/>
        <w:spacing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2、单位负责人或法定代表人为同一人，或者存在控股、管理关系的不同供应商，参加同一包件或者未划分包件的同一项目响应的，相关响应均无效。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rPr>
        <w:t>3、除上述以及法律法规所规定的响应无效情形外，响应文件有其他不符合磋商文件要求的均作为评审时的考虑因素，而不导致响应无效。</w:t>
      </w:r>
    </w:p>
    <w:p>
      <w:pPr>
        <w:pStyle w:val="2"/>
        <w:spacing w:line="364" w:lineRule="auto"/>
        <w:ind w:right="478" w:firstLine="42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二、</w:t>
      </w:r>
      <w:r>
        <w:rPr>
          <w:rFonts w:hint="eastAsia" w:ascii="宋体" w:hAnsi="宋体" w:eastAsia="宋体" w:cs="宋体"/>
          <w:spacing w:val="-2"/>
          <w:sz w:val="21"/>
          <w:szCs w:val="21"/>
        </w:rPr>
        <w:t>评审方法与程序</w:t>
      </w:r>
    </w:p>
    <w:p>
      <w:pPr>
        <w:pStyle w:val="2"/>
        <w:spacing w:line="364" w:lineRule="auto"/>
        <w:ind w:right="478" w:firstLine="420"/>
        <w:rPr>
          <w:rFonts w:hint="eastAsia"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pacing w:val="-3"/>
          <w:sz w:val="21"/>
          <w:szCs w:val="21"/>
        </w:rPr>
        <w:t>评审方法</w:t>
      </w:r>
    </w:p>
    <w:p>
      <w:pPr>
        <w:pStyle w:val="2"/>
        <w:spacing w:before="104"/>
        <w:rPr>
          <w:rFonts w:hint="eastAsia" w:ascii="宋体" w:hAnsi="宋体" w:eastAsia="宋体" w:cs="宋体"/>
          <w:spacing w:val="-24"/>
          <w:sz w:val="21"/>
          <w:szCs w:val="21"/>
        </w:rPr>
      </w:pPr>
      <w:r>
        <w:rPr>
          <w:rFonts w:hint="eastAsia" w:ascii="宋体" w:hAnsi="宋体" w:eastAsia="宋体" w:cs="宋体"/>
          <w:spacing w:val="-4"/>
          <w:sz w:val="21"/>
          <w:szCs w:val="21"/>
        </w:rPr>
        <w:t xml:space="preserve">本项目采用“综合评分法”评审，总分为 </w:t>
      </w:r>
      <w:r>
        <w:rPr>
          <w:rFonts w:hint="eastAsia" w:ascii="宋体" w:hAnsi="宋体" w:eastAsia="宋体" w:cs="宋体"/>
          <w:sz w:val="21"/>
          <w:szCs w:val="21"/>
        </w:rPr>
        <w:t>100</w:t>
      </w:r>
      <w:r>
        <w:rPr>
          <w:rFonts w:hint="eastAsia" w:ascii="宋体" w:hAnsi="宋体" w:eastAsia="宋体" w:cs="宋体"/>
          <w:spacing w:val="-24"/>
          <w:sz w:val="21"/>
          <w:szCs w:val="21"/>
        </w:rPr>
        <w:t xml:space="preserve"> 分。</w:t>
      </w: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sectPr>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widowControl w:val="0"/>
        <w:autoSpaceDE w:val="0"/>
        <w:autoSpaceDN w:val="0"/>
        <w:spacing w:before="80" w:after="0" w:line="240" w:lineRule="auto"/>
        <w:ind w:left="0" w:right="7078"/>
        <w:jc w:val="center"/>
        <w:outlineLvl w:val="1"/>
        <w:rPr>
          <w:rFonts w:ascii="Microsoft JhengHei" w:hAnsi="Microsoft JhengHei" w:eastAsia="Microsoft JhengHei" w:cs="Microsoft JhengHei"/>
          <w:b/>
          <w:bCs/>
          <w:sz w:val="24"/>
          <w:szCs w:val="24"/>
          <w:lang w:val="en-US" w:eastAsia="en-US" w:bidi="ar-SA"/>
        </w:rPr>
      </w:pPr>
      <w:r>
        <w:rPr>
          <w:rFonts w:ascii="Microsoft JhengHei" w:hAnsi="Microsoft JhengHei" w:eastAsia="Microsoft JhengHei" w:cs="Microsoft JhengHei"/>
          <w:b/>
          <w:bCs/>
          <w:sz w:val="24"/>
          <w:szCs w:val="24"/>
          <w:lang w:val="en-US" w:eastAsia="en-US" w:bidi="ar-SA"/>
        </w:rPr>
        <w:t>（二）</w:t>
      </w:r>
      <w:r>
        <w:rPr>
          <w:rFonts w:ascii="Microsoft JhengHei" w:hAnsi="Microsoft JhengHei" w:eastAsia="Microsoft JhengHei" w:cs="Microsoft JhengHei"/>
          <w:b/>
          <w:bCs/>
          <w:spacing w:val="-3"/>
          <w:sz w:val="24"/>
          <w:szCs w:val="24"/>
          <w:lang w:val="en-US" w:eastAsia="en-US" w:bidi="ar-SA"/>
        </w:rPr>
        <w:t>磋商小组</w:t>
      </w:r>
    </w:p>
    <w:p>
      <w:pPr>
        <w:pStyle w:val="2"/>
        <w:numPr>
          <w:ilvl w:val="0"/>
          <w:numId w:val="0"/>
        </w:numPr>
        <w:spacing w:before="104"/>
        <w:rPr>
          <w:rFonts w:hint="eastAsia" w:ascii="宋体" w:hAnsi="宋体" w:eastAsia="宋体" w:cs="宋体"/>
          <w:b/>
          <w:bCs/>
          <w:spacing w:val="-24"/>
          <w:sz w:val="21"/>
          <w:szCs w:val="21"/>
          <w:lang w:val="en-US" w:eastAsia="zh-CN"/>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105" w:line="364" w:lineRule="auto"/>
        <w:ind w:right="478" w:firstLine="472" w:firstLineChars="200"/>
        <w:rPr>
          <w:rFonts w:hint="eastAsia" w:eastAsia="宋体"/>
          <w:lang w:eastAsia="zh-CN"/>
        </w:rPr>
      </w:pPr>
      <w:r>
        <w:rPr>
          <w:spacing w:val="-2"/>
        </w:rPr>
        <w:t>1</w:t>
      </w:r>
      <w:r>
        <w:rPr>
          <w:spacing w:val="-4"/>
        </w:rPr>
        <w:t xml:space="preserve">、本项目评审工作由磋商小组负责，磋商小组由 </w:t>
      </w:r>
      <w:r>
        <w:rPr>
          <w:spacing w:val="-2"/>
        </w:rPr>
        <w:t>3</w:t>
      </w:r>
      <w:r>
        <w:rPr>
          <w:spacing w:val="-9"/>
        </w:rPr>
        <w:t xml:space="preserve"> 人以上单数组成</w:t>
      </w:r>
      <w:r>
        <w:rPr>
          <w:rFonts w:hint="eastAsia" w:eastAsia="宋体"/>
          <w:spacing w:val="-9"/>
          <w:lang w:eastAsia="zh-CN"/>
        </w:rPr>
        <w:t>。</w:t>
      </w:r>
    </w:p>
    <w:p>
      <w:pPr>
        <w:pStyle w:val="2"/>
        <w:spacing w:line="364" w:lineRule="auto"/>
        <w:ind w:right="298" w:firstLine="420"/>
        <w:rPr>
          <w:spacing w:val="-1"/>
        </w:rPr>
      </w:pPr>
      <w:r>
        <w:t>2、磋商小组成员应坚持客观、公正、审慎的原则，依据响应文件对磋商文件响</w:t>
      </w:r>
      <w:r>
        <w:rPr>
          <w:spacing w:val="-1"/>
        </w:rPr>
        <w:t>应情况、响应文件编制情况等，按照《评分细则》逐项进行综合、科学、客观评分。</w:t>
      </w:r>
    </w:p>
    <w:p>
      <w:pPr>
        <w:pStyle w:val="2"/>
        <w:spacing w:line="364" w:lineRule="auto"/>
        <w:ind w:right="298" w:firstLine="420"/>
        <w:rPr>
          <w:rFonts w:hint="eastAsia" w:ascii="Microsoft JhengHei" w:hAnsi="Microsoft JhengHei" w:eastAsia="Microsoft JhengHei" w:cs="Microsoft JhengHei"/>
          <w:b/>
          <w:bCs/>
          <w:sz w:val="24"/>
          <w:szCs w:val="24"/>
        </w:rPr>
      </w:pPr>
      <w:r>
        <w:rPr>
          <w:rFonts w:hint="eastAsia" w:ascii="Microsoft JhengHei" w:hAnsi="Microsoft JhengHei" w:eastAsia="Microsoft JhengHei" w:cs="Microsoft JhengHei"/>
          <w:b/>
          <w:bCs/>
          <w:sz w:val="24"/>
          <w:szCs w:val="24"/>
        </w:rPr>
        <w:t>（三）</w:t>
      </w:r>
      <w:r>
        <w:rPr>
          <w:rFonts w:hint="eastAsia" w:ascii="Microsoft JhengHei" w:hAnsi="Microsoft JhengHei" w:eastAsia="Microsoft JhengHei" w:cs="Microsoft JhengHei"/>
          <w:b/>
          <w:bCs/>
          <w:spacing w:val="-3"/>
          <w:sz w:val="24"/>
          <w:szCs w:val="24"/>
        </w:rPr>
        <w:t>评审程序</w:t>
      </w:r>
    </w:p>
    <w:p>
      <w:pPr>
        <w:pStyle w:val="2"/>
        <w:spacing w:before="104"/>
        <w:ind w:left="928"/>
        <w:rPr>
          <w:rFonts w:hint="eastAsia" w:ascii="宋体" w:hAnsi="宋体" w:eastAsia="宋体" w:cs="宋体"/>
          <w:sz w:val="21"/>
          <w:szCs w:val="21"/>
        </w:rPr>
      </w:pPr>
      <w:r>
        <w:rPr>
          <w:rFonts w:hint="eastAsia" w:ascii="宋体" w:hAnsi="宋体" w:eastAsia="宋体" w:cs="宋体"/>
          <w:spacing w:val="-1"/>
          <w:sz w:val="21"/>
          <w:szCs w:val="21"/>
        </w:rPr>
        <w:t>本项目评审工作程序如下：</w:t>
      </w:r>
    </w:p>
    <w:p>
      <w:pPr>
        <w:pStyle w:val="2"/>
        <w:spacing w:before="159"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1、响应文件初审。初审包括资格性检查和符合性检查。首先，依据法律法规和磋商文件的规定，审查、确定提交响应文件的供应商是否具备响应资格。其次，依据磋商文件的规定，从响应文件的有效性、完整性和对磋商文件的响应程度进行审查，确定响应文件是否对磋商文件的实质性要求作出了响应。</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2、澄清有关问题。对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响应文件的范围或者改变响应文件的实质性内容。</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3、采购代理机构将按照磋商小组所确定的参加磋商的供应商名单以及磋商时</w:t>
      </w:r>
      <w:r>
        <w:rPr>
          <w:rFonts w:hint="eastAsia" w:ascii="宋体" w:hAnsi="宋体" w:eastAsia="宋体" w:cs="宋体"/>
          <w:spacing w:val="-1"/>
          <w:sz w:val="21"/>
          <w:szCs w:val="21"/>
        </w:rPr>
        <w:t>间和磋商顺序安排，组织逐一与供应商进行磋商，未按要求参加的，视为放弃本项</w:t>
      </w:r>
    </w:p>
    <w:p>
      <w:pPr>
        <w:spacing w:after="0" w:line="364" w:lineRule="auto"/>
        <w:rPr>
          <w:rFonts w:hint="eastAsia" w:ascii="宋体" w:hAnsi="宋体" w:eastAsia="宋体" w:cs="宋体"/>
          <w:sz w:val="21"/>
          <w:szCs w:val="2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720" w:num="1"/>
        </w:sectPr>
      </w:pPr>
    </w:p>
    <w:p>
      <w:pPr>
        <w:pStyle w:val="2"/>
        <w:spacing w:before="50"/>
        <w:rPr>
          <w:rFonts w:hint="eastAsia" w:ascii="宋体" w:hAnsi="宋体" w:eastAsia="宋体" w:cs="宋体"/>
          <w:sz w:val="21"/>
          <w:szCs w:val="21"/>
        </w:rPr>
      </w:pPr>
      <w:r>
        <w:rPr>
          <w:rFonts w:hint="eastAsia" w:ascii="宋体" w:hAnsi="宋体" w:eastAsia="宋体" w:cs="宋体"/>
          <w:spacing w:val="-1"/>
          <w:sz w:val="21"/>
          <w:szCs w:val="21"/>
        </w:rPr>
        <w:t>目磋商，并不再接受其最后报价。</w:t>
      </w:r>
    </w:p>
    <w:p>
      <w:pPr>
        <w:pStyle w:val="2"/>
        <w:spacing w:before="160" w:line="364" w:lineRule="auto"/>
        <w:ind w:right="658" w:firstLine="480"/>
        <w:rPr>
          <w:rFonts w:hint="eastAsia" w:ascii="宋体" w:hAnsi="宋体" w:eastAsia="宋体" w:cs="宋体"/>
          <w:sz w:val="21"/>
          <w:szCs w:val="21"/>
        </w:rPr>
      </w:pPr>
      <w:r>
        <w:rPr>
          <w:rFonts w:hint="eastAsia" w:ascii="宋体" w:hAnsi="宋体" w:eastAsia="宋体" w:cs="宋体"/>
          <w:spacing w:val="-2"/>
          <w:sz w:val="21"/>
          <w:szCs w:val="21"/>
        </w:rPr>
        <w:t>4、请参加磋商的供应商事先做好时间安排和磋商准备，根据通知的安排，携带有关磋商资料准时参加磋商。</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5、磋商结束后，供应商应根据磋商中确定的内容和时间要求提交最终响应文件（包括最后报价</w:t>
      </w:r>
      <w:r>
        <w:rPr>
          <w:rFonts w:hint="eastAsia" w:ascii="宋体" w:hAnsi="宋体" w:eastAsia="宋体" w:cs="宋体"/>
          <w:spacing w:val="-120"/>
          <w:sz w:val="21"/>
          <w:szCs w:val="21"/>
        </w:rPr>
        <w:t>）</w:t>
      </w:r>
      <w:r>
        <w:rPr>
          <w:rFonts w:hint="eastAsia" w:ascii="宋体" w:hAnsi="宋体" w:eastAsia="宋体" w:cs="宋体"/>
          <w:spacing w:val="-2"/>
          <w:sz w:val="21"/>
          <w:szCs w:val="21"/>
        </w:rPr>
        <w:t>。磋商小组将根据磋商后供应商最终响应情况按照项目《评审细则》进行综合评审。磋商小组应坚持客观、公正、审慎的原则，依据最终响应情</w:t>
      </w:r>
      <w:r>
        <w:rPr>
          <w:rFonts w:hint="eastAsia" w:ascii="宋体" w:hAnsi="宋体" w:eastAsia="宋体" w:cs="宋体"/>
          <w:spacing w:val="-4"/>
          <w:sz w:val="21"/>
          <w:szCs w:val="21"/>
        </w:rPr>
        <w:t xml:space="preserve">况，按照《评审细则》逐项进行综合、科学、客观评分。评审总分为 </w:t>
      </w:r>
      <w:r>
        <w:rPr>
          <w:rFonts w:hint="eastAsia" w:ascii="宋体" w:hAnsi="宋体" w:eastAsia="宋体" w:cs="宋体"/>
          <w:spacing w:val="-2"/>
          <w:sz w:val="21"/>
          <w:szCs w:val="21"/>
        </w:rPr>
        <w:t>100</w:t>
      </w:r>
      <w:r>
        <w:rPr>
          <w:rFonts w:hint="eastAsia" w:ascii="宋体" w:hAnsi="宋体" w:eastAsia="宋体" w:cs="宋体"/>
          <w:spacing w:val="-11"/>
          <w:sz w:val="21"/>
          <w:szCs w:val="21"/>
        </w:rPr>
        <w:t xml:space="preserve"> 分，评审</w:t>
      </w:r>
      <w:r>
        <w:rPr>
          <w:rFonts w:hint="eastAsia" w:ascii="宋体" w:hAnsi="宋体" w:eastAsia="宋体" w:cs="宋体"/>
          <w:spacing w:val="-2"/>
          <w:sz w:val="21"/>
          <w:szCs w:val="21"/>
        </w:rPr>
        <w:t>内容、分值、评审标准见评审细则。</w:t>
      </w:r>
    </w:p>
    <w:p>
      <w:pPr>
        <w:pStyle w:val="2"/>
        <w:spacing w:line="364" w:lineRule="auto"/>
        <w:ind w:right="538" w:firstLine="480"/>
        <w:rPr>
          <w:rFonts w:hint="eastAsia" w:ascii="宋体" w:hAnsi="宋体" w:eastAsia="宋体" w:cs="宋体"/>
          <w:sz w:val="21"/>
          <w:szCs w:val="21"/>
        </w:rPr>
      </w:pPr>
      <w:r>
        <w:rPr>
          <w:rFonts w:hint="eastAsia" w:ascii="宋体" w:hAnsi="宋体" w:eastAsia="宋体" w:cs="宋体"/>
          <w:spacing w:val="-2"/>
          <w:sz w:val="21"/>
          <w:szCs w:val="21"/>
        </w:rPr>
        <w:t>6、所有磋商和最后报价结束后，由磋商小组采用综合评分法对提交最终响应文件的供应商的响应文件和最后报价进行综合评分，各评委按照评审办法对每个参加磋商的供应商进行独立评分，再计算平均分值，从响应文件满足磋商文件全部实质性要求的供应商中，按照评审得分由高到低的顺序推荐成交候选供应商。</w:t>
      </w:r>
    </w:p>
    <w:p>
      <w:pPr>
        <w:pStyle w:val="2"/>
        <w:spacing w:line="364" w:lineRule="auto"/>
        <w:ind w:right="658" w:firstLine="480"/>
        <w:jc w:val="both"/>
        <w:rPr>
          <w:rFonts w:hint="eastAsia" w:ascii="宋体" w:hAnsi="宋体" w:eastAsia="宋体" w:cs="宋体"/>
          <w:spacing w:val="-2"/>
          <w:sz w:val="21"/>
          <w:szCs w:val="21"/>
        </w:rPr>
      </w:pPr>
      <w:r>
        <w:rPr>
          <w:rFonts w:hint="eastAsia" w:ascii="宋体" w:hAnsi="宋体" w:eastAsia="宋体" w:cs="宋体"/>
          <w:spacing w:val="-2"/>
          <w:sz w:val="21"/>
          <w:szCs w:val="21"/>
        </w:rPr>
        <w:t>7、评审得分相同的，按照最后报价由低到高的顺序推荐。评审得分相同且最后报价相同的，则由磋商小组按照少数服从多数原则投票表决。根据规定,采购人按照成交候选人排名顺序确定成交供应商。</w:t>
      </w:r>
    </w:p>
    <w:p>
      <w:pPr>
        <w:pStyle w:val="2"/>
        <w:spacing w:line="364" w:lineRule="auto"/>
        <w:ind w:right="658" w:firstLine="480"/>
        <w:jc w:val="both"/>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spacing w:val="-3"/>
          <w:sz w:val="21"/>
          <w:szCs w:val="21"/>
        </w:rPr>
        <w:t>评分细则</w:t>
      </w:r>
    </w:p>
    <w:p>
      <w:pPr>
        <w:pStyle w:val="2"/>
        <w:spacing w:before="99"/>
        <w:ind w:left="928"/>
        <w:rPr>
          <w:rFonts w:hint="eastAsia" w:ascii="宋体" w:hAnsi="宋体" w:eastAsia="宋体" w:cs="宋体"/>
          <w:sz w:val="21"/>
          <w:szCs w:val="21"/>
        </w:rPr>
      </w:pPr>
      <w:r>
        <w:rPr>
          <w:rFonts w:hint="eastAsia" w:ascii="宋体" w:hAnsi="宋体" w:eastAsia="宋体" w:cs="宋体"/>
          <w:spacing w:val="-1"/>
          <w:sz w:val="21"/>
          <w:szCs w:val="21"/>
        </w:rPr>
        <w:t>本项目具体评分细则如下：</w:t>
      </w:r>
    </w:p>
    <w:p>
      <w:pPr>
        <w:pStyle w:val="2"/>
        <w:spacing w:before="159"/>
        <w:rPr>
          <w:rFonts w:hint="eastAsia" w:ascii="宋体" w:hAnsi="宋体" w:eastAsia="宋体" w:cs="宋体"/>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价格分按照以下方式进行计算：</w:t>
      </w:r>
    </w:p>
    <w:p>
      <w:pPr>
        <w:pStyle w:val="18"/>
        <w:numPr>
          <w:ilvl w:val="0"/>
          <w:numId w:val="6"/>
        </w:numPr>
        <w:tabs>
          <w:tab w:val="left" w:pos="1529"/>
        </w:tabs>
        <w:spacing w:before="159" w:after="0" w:line="240" w:lineRule="auto"/>
        <w:ind w:left="1529" w:right="0" w:hanging="601"/>
        <w:jc w:val="left"/>
        <w:rPr>
          <w:rFonts w:hint="eastAsia" w:ascii="宋体" w:hAnsi="宋体" w:eastAsia="宋体" w:cs="宋体"/>
          <w:sz w:val="21"/>
          <w:szCs w:val="21"/>
        </w:rPr>
      </w:pPr>
      <w:r>
        <w:rPr>
          <w:rFonts w:hint="eastAsia" w:ascii="宋体" w:hAnsi="宋体" w:eastAsia="宋体" w:cs="宋体"/>
          <w:sz w:val="21"/>
          <w:szCs w:val="21"/>
        </w:rPr>
        <w:t>价格评分：磋商报价得分＝价格分值×（磋商基准价/最后磋商报价</w:t>
      </w:r>
      <w:r>
        <w:rPr>
          <w:rFonts w:hint="eastAsia" w:ascii="宋体" w:hAnsi="宋体" w:eastAsia="宋体" w:cs="宋体"/>
          <w:spacing w:val="-10"/>
          <w:sz w:val="21"/>
          <w:szCs w:val="21"/>
        </w:rPr>
        <w:t>）</w:t>
      </w:r>
    </w:p>
    <w:p>
      <w:pPr>
        <w:pStyle w:val="18"/>
        <w:numPr>
          <w:ilvl w:val="0"/>
          <w:numId w:val="6"/>
        </w:numPr>
        <w:tabs>
          <w:tab w:val="left" w:pos="1529"/>
        </w:tabs>
        <w:spacing w:before="160" w:after="0" w:line="364" w:lineRule="auto"/>
        <w:ind w:left="448" w:right="658" w:firstLine="480"/>
        <w:jc w:val="left"/>
        <w:rPr>
          <w:rFonts w:hint="eastAsia" w:ascii="宋体" w:hAnsi="宋体" w:eastAsia="宋体" w:cs="宋体"/>
          <w:sz w:val="21"/>
          <w:szCs w:val="21"/>
        </w:rPr>
      </w:pPr>
      <w:r>
        <w:rPr>
          <w:rFonts w:hint="eastAsia" w:ascii="宋体" w:hAnsi="宋体" w:eastAsia="宋体" w:cs="宋体"/>
          <w:spacing w:val="-2"/>
          <w:sz w:val="21"/>
          <w:szCs w:val="21"/>
        </w:rPr>
        <w:t>磋商基准价：是经初审合格（技术、商务基本符合要求，无重大缺、漏项）满足磋商文件要求且最终报价价格最低的报价。</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最后磋商报价：最终报价无缺漏项的，最终报价即最后磋商报价；最终报价有缺漏项的，按照其他供应商相同项的最高报价计算其缺漏项价格，经过计算</w:t>
      </w:r>
      <w:r>
        <w:rPr>
          <w:rFonts w:hint="eastAsia" w:ascii="宋体" w:hAnsi="宋体" w:eastAsia="宋体" w:cs="宋体"/>
          <w:spacing w:val="-3"/>
          <w:sz w:val="21"/>
          <w:szCs w:val="21"/>
        </w:rPr>
        <w:t xml:space="preserve">的缺漏项价格不超过其最终报价 </w:t>
      </w:r>
      <w:r>
        <w:rPr>
          <w:rFonts w:hint="eastAsia" w:ascii="宋体" w:hAnsi="宋体" w:eastAsia="宋体" w:cs="宋体"/>
          <w:sz w:val="21"/>
          <w:szCs w:val="21"/>
        </w:rPr>
        <w:t>10%的，其最终报价也即最后磋商报价，缺漏项的</w:t>
      </w:r>
      <w:r>
        <w:rPr>
          <w:rFonts w:hint="eastAsia" w:ascii="宋体" w:hAnsi="宋体" w:eastAsia="宋体" w:cs="宋体"/>
          <w:spacing w:val="-2"/>
          <w:sz w:val="21"/>
          <w:szCs w:val="21"/>
        </w:rPr>
        <w:t xml:space="preserve">费用视为已包括在其最终报价中，经过计算的缺漏项价格超过其最终报价 </w:t>
      </w:r>
      <w:r>
        <w:rPr>
          <w:rFonts w:hint="eastAsia" w:ascii="宋体" w:hAnsi="宋体" w:eastAsia="宋体" w:cs="宋体"/>
          <w:sz w:val="21"/>
          <w:szCs w:val="21"/>
        </w:rPr>
        <w:t>10%的，</w:t>
      </w:r>
      <w:r>
        <w:rPr>
          <w:rFonts w:hint="eastAsia" w:ascii="宋体" w:hAnsi="宋体" w:eastAsia="宋体" w:cs="宋体"/>
          <w:spacing w:val="-2"/>
          <w:sz w:val="21"/>
          <w:szCs w:val="21"/>
        </w:rPr>
        <w:t>其响应无效。</w:t>
      </w:r>
    </w:p>
    <w:p>
      <w:pPr>
        <w:pStyle w:val="18"/>
        <w:numPr>
          <w:ilvl w:val="0"/>
          <w:numId w:val="6"/>
        </w:numPr>
        <w:tabs>
          <w:tab w:val="left" w:pos="1529"/>
        </w:tabs>
        <w:spacing w:before="0" w:after="0" w:line="364" w:lineRule="auto"/>
        <w:ind w:left="448" w:right="538" w:firstLine="480"/>
        <w:jc w:val="left"/>
        <w:rPr>
          <w:rFonts w:hint="eastAsia" w:ascii="宋体" w:hAnsi="宋体" w:eastAsia="宋体" w:cs="宋体"/>
          <w:sz w:val="21"/>
          <w:szCs w:val="21"/>
        </w:rPr>
      </w:pPr>
      <w:r>
        <w:rPr>
          <w:rFonts w:hint="eastAsia" w:ascii="宋体" w:hAnsi="宋体" w:eastAsia="宋体" w:cs="宋体"/>
          <w:spacing w:val="-2"/>
          <w:sz w:val="21"/>
          <w:szCs w:val="21"/>
        </w:rPr>
        <w:t>供应商不得以低于成本的报价竞标。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numPr>
          <w:ilvl w:val="0"/>
          <w:numId w:val="0"/>
        </w:numPr>
        <w:tabs>
          <w:tab w:val="left" w:pos="959"/>
        </w:tabs>
        <w:spacing w:before="0" w:line="413" w:lineRule="exact"/>
        <w:ind w:leftChars="0" w:right="0" w:rightChars="0" w:firstLine="396" w:firstLineChars="200"/>
        <w:jc w:val="both"/>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响应文件其他评分因素及分值设置等详见《评分细则》。</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w w:val="95"/>
          <w:sz w:val="24"/>
        </w:rPr>
      </w:pPr>
    </w:p>
    <w:p>
      <w:pPr>
        <w:spacing w:before="38"/>
        <w:ind w:left="629" w:right="149" w:firstLine="0"/>
        <w:jc w:val="center"/>
        <w:rPr>
          <w:rFonts w:ascii="Microsoft JhengHei" w:eastAsia="Microsoft JhengHei"/>
          <w:b/>
          <w:sz w:val="24"/>
        </w:rPr>
      </w:pPr>
      <w:r>
        <w:rPr>
          <w:rFonts w:ascii="Microsoft JhengHei" w:eastAsia="Microsoft JhengHei"/>
          <w:b/>
          <w:w w:val="95"/>
          <w:sz w:val="24"/>
        </w:rPr>
        <w:t>评分细则（100</w:t>
      </w:r>
      <w:r>
        <w:rPr>
          <w:rFonts w:ascii="Microsoft JhengHei" w:eastAsia="Microsoft JhengHei"/>
          <w:b/>
          <w:spacing w:val="20"/>
          <w:sz w:val="24"/>
        </w:rPr>
        <w:t xml:space="preserve"> </w:t>
      </w:r>
      <w:r>
        <w:rPr>
          <w:rFonts w:ascii="Microsoft JhengHei" w:eastAsia="Microsoft JhengHei"/>
          <w:b/>
          <w:w w:val="95"/>
          <w:sz w:val="24"/>
        </w:rPr>
        <w:t>分</w:t>
      </w:r>
      <w:r>
        <w:rPr>
          <w:rFonts w:ascii="Microsoft JhengHei" w:eastAsia="Microsoft JhengHei"/>
          <w:b/>
          <w:spacing w:val="-10"/>
          <w:w w:val="95"/>
          <w:sz w:val="24"/>
        </w:rPr>
        <w:t>）</w:t>
      </w:r>
    </w:p>
    <w:tbl>
      <w:tblPr>
        <w:tblStyle w:val="13"/>
        <w:tblW w:w="89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1"/>
        <w:gridCol w:w="2982"/>
        <w:gridCol w:w="2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评分项目</w:t>
            </w:r>
          </w:p>
        </w:tc>
        <w:tc>
          <w:tcPr>
            <w:tcW w:w="2982"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分值</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评分要点及说明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1 报价得分</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0-10</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报价得分＝价格分值×（磋商基准价</w:t>
            </w:r>
            <w:r>
              <w:rPr>
                <w:rFonts w:asciiTheme="minorEastAsia" w:hAnsiTheme="minorEastAsia" w:eastAsiaTheme="minorEastAsia"/>
                <w:b w:val="0"/>
                <w:bCs/>
                <w:sz w:val="24"/>
              </w:rPr>
              <w:t>/最后磋商报价）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2 企业综合实力</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0-10</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根据投标人的社会信誉、履约能力、技术水平能力情况进行综合评审，第一档得</w:t>
            </w:r>
            <w:r>
              <w:rPr>
                <w:rFonts w:asciiTheme="minorEastAsia" w:hAnsiTheme="minorEastAsia" w:eastAsiaTheme="minorEastAsia"/>
                <w:b w:val="0"/>
                <w:bCs/>
                <w:sz w:val="24"/>
              </w:rPr>
              <w:t>7～10分；第二档得4～6分，第三档得0~3分。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3 项目服务方案</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0-30</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根据投标人提供的实施计划方案的完整性、可行性、配合情况、专业设备配置的先进性、以往类似案例实施情况等分三档综合评审，第一档：</w:t>
            </w:r>
            <w:r>
              <w:rPr>
                <w:rFonts w:asciiTheme="minorEastAsia" w:hAnsiTheme="minorEastAsia" w:eastAsiaTheme="minorEastAsia"/>
                <w:b w:val="0"/>
                <w:bCs/>
                <w:sz w:val="24"/>
              </w:rPr>
              <w:t>21～30分，第二档：11～20分，第三档：0～10分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4 项目负责人</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0-10</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根据投标人拟派遣的项目负责人具有专业经验、管理能力、处理突发事件能力等分三档进行综合评审，第一档得</w:t>
            </w:r>
            <w:r>
              <w:rPr>
                <w:rFonts w:asciiTheme="minorEastAsia" w:hAnsiTheme="minorEastAsia" w:eastAsiaTheme="minorEastAsia"/>
                <w:b w:val="0"/>
                <w:bCs/>
                <w:sz w:val="24"/>
              </w:rPr>
              <w:t>7～10分；第二档得4～6分；第三档得0～3分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5 项目团队情况</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0-15</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根据投标人拟派遣的项目团队配置情况、相关专业人员经验等分三档进行综合评审，第一档得</w:t>
            </w:r>
            <w:r>
              <w:rPr>
                <w:rFonts w:asciiTheme="minorEastAsia" w:hAnsiTheme="minorEastAsia" w:eastAsiaTheme="minorEastAsia"/>
                <w:b w:val="0"/>
                <w:bCs/>
                <w:sz w:val="24"/>
              </w:rPr>
              <w:t>11～15分；第二档得6～10分；第三档得0～5分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6 质保及售后</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0.00-15</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根据投标人提供质保措施、售后服务措施、应急响应计划等分三档进行综合评审，第一档得</w:t>
            </w:r>
            <w:r>
              <w:rPr>
                <w:rFonts w:asciiTheme="minorEastAsia" w:hAnsiTheme="minorEastAsia" w:eastAsiaTheme="minorEastAsia"/>
                <w:b w:val="0"/>
                <w:bCs/>
                <w:sz w:val="24"/>
              </w:rPr>
              <w:t>11-15分；第二档得6-10分；第三档得0-5分。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81"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7 类似业绩</w:t>
            </w:r>
          </w:p>
        </w:tc>
        <w:tc>
          <w:tcPr>
            <w:tcW w:w="2982" w:type="dxa"/>
          </w:tcPr>
          <w:p>
            <w:pPr>
              <w:adjustRightInd w:val="0"/>
              <w:snapToGrid w:val="0"/>
              <w:spacing w:line="360" w:lineRule="auto"/>
              <w:rPr>
                <w:rFonts w:asciiTheme="minorEastAsia" w:hAnsiTheme="minorEastAsia" w:eastAsiaTheme="minorEastAsia"/>
                <w:b w:val="0"/>
                <w:bCs/>
                <w:sz w:val="24"/>
              </w:rPr>
            </w:pPr>
            <w:r>
              <w:rPr>
                <w:rFonts w:asciiTheme="minorEastAsia" w:hAnsiTheme="minorEastAsia" w:eastAsiaTheme="minorEastAsia"/>
                <w:b w:val="0"/>
                <w:bCs/>
                <w:sz w:val="24"/>
              </w:rPr>
              <w:t>0-10</w:t>
            </w:r>
          </w:p>
        </w:tc>
        <w:tc>
          <w:tcPr>
            <w:tcW w:w="2984" w:type="dxa"/>
          </w:tcPr>
          <w:p>
            <w:pPr>
              <w:adjustRightInd w:val="0"/>
              <w:snapToGrid w:val="0"/>
              <w:spacing w:line="360" w:lineRule="auto"/>
              <w:rPr>
                <w:rFonts w:asciiTheme="minorEastAsia" w:hAnsiTheme="minorEastAsia" w:eastAsiaTheme="minorEastAsia"/>
                <w:b w:val="0"/>
                <w:bCs/>
                <w:sz w:val="24"/>
              </w:rPr>
            </w:pPr>
            <w:r>
              <w:rPr>
                <w:rFonts w:hint="eastAsia" w:asciiTheme="minorEastAsia" w:hAnsiTheme="minorEastAsia" w:eastAsiaTheme="minorEastAsia"/>
                <w:b w:val="0"/>
                <w:bCs/>
                <w:sz w:val="24"/>
              </w:rPr>
              <w:t>投标人近</w:t>
            </w:r>
            <w:r>
              <w:rPr>
                <w:rFonts w:asciiTheme="minorEastAsia" w:hAnsiTheme="minorEastAsia" w:eastAsiaTheme="minorEastAsia"/>
                <w:b w:val="0"/>
                <w:bCs/>
                <w:sz w:val="24"/>
              </w:rPr>
              <w:t>3年的类似业绩（以合同复印件为准）：0-10分 （每有1个类似业绩的，得</w:t>
            </w:r>
            <w:r>
              <w:rPr>
                <w:rFonts w:hint="eastAsia" w:asciiTheme="minorEastAsia" w:hAnsiTheme="minorEastAsia" w:eastAsiaTheme="minorEastAsia"/>
                <w:b w:val="0"/>
                <w:bCs/>
                <w:sz w:val="24"/>
                <w:lang w:val="en-US" w:eastAsia="zh-CN"/>
              </w:rPr>
              <w:t>2</w:t>
            </w:r>
            <w:r>
              <w:rPr>
                <w:rFonts w:asciiTheme="minorEastAsia" w:hAnsiTheme="minorEastAsia" w:eastAsiaTheme="minorEastAsia"/>
                <w:b w:val="0"/>
                <w:bCs/>
                <w:sz w:val="24"/>
              </w:rPr>
              <w:t>分；最多得10分；无类似业绩的，得0分）</w:t>
            </w:r>
          </w:p>
        </w:tc>
      </w:tr>
    </w:tbl>
    <w:p>
      <w:pPr>
        <w:pStyle w:val="2"/>
        <w:ind w:left="0"/>
        <w:rPr>
          <w:rFonts w:ascii="Microsoft JhengHei"/>
          <w:b/>
          <w:sz w:val="20"/>
        </w:rPr>
      </w:pPr>
    </w:p>
    <w:p>
      <w:pPr>
        <w:pStyle w:val="2"/>
        <w:ind w:left="0"/>
        <w:rPr>
          <w:rFonts w:ascii="Microsoft JhengHei"/>
          <w:b/>
          <w:sz w:val="20"/>
        </w:rPr>
      </w:pPr>
    </w:p>
    <w:p>
      <w:pPr>
        <w:pStyle w:val="2"/>
        <w:spacing w:before="5"/>
        <w:ind w:left="0"/>
        <w:rPr>
          <w:rFonts w:ascii="Microsoft JhengHei"/>
          <w:b/>
          <w:sz w:val="16"/>
        </w:rPr>
      </w:pPr>
    </w:p>
    <w:p>
      <w:pPr>
        <w:spacing w:after="0" w:line="366" w:lineRule="exact"/>
        <w:rPr>
          <w:rFonts w:ascii="Microsoft JhengHei" w:eastAsia="Microsoft JhengHei"/>
          <w:sz w:val="24"/>
        </w:rPr>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adjustRightInd w:val="0"/>
        <w:snapToGrid w:val="0"/>
        <w:spacing w:line="360" w:lineRule="auto"/>
        <w:rPr>
          <w:rFonts w:ascii="宋体" w:hAnsi="宋体"/>
          <w:b/>
          <w:snapToGrid w:val="0"/>
          <w:kern w:val="0"/>
          <w:szCs w:val="21"/>
        </w:rPr>
      </w:pPr>
    </w:p>
    <w:p>
      <w:pPr>
        <w:adjustRightInd w:val="0"/>
        <w:snapToGrid w:val="0"/>
        <w:spacing w:line="360" w:lineRule="auto"/>
        <w:rPr>
          <w:rFonts w:ascii="宋体" w:hAnsi="宋体"/>
          <w:b/>
          <w:snapToGrid w:val="0"/>
          <w:kern w:val="0"/>
          <w:szCs w:val="21"/>
        </w:rPr>
      </w:pPr>
    </w:p>
    <w:p>
      <w:pPr>
        <w:adjustRightInd w:val="0"/>
        <w:snapToGrid w:val="0"/>
        <w:spacing w:line="360" w:lineRule="auto"/>
        <w:rPr>
          <w:rFonts w:ascii="宋体" w:hAnsi="宋体"/>
          <w:b/>
          <w:snapToGrid w:val="0"/>
          <w:kern w:val="0"/>
          <w:szCs w:val="21"/>
        </w:rPr>
      </w:pPr>
      <w:r>
        <w:rPr>
          <w:rFonts w:ascii="宋体" w:hAnsi="宋体"/>
          <w:b/>
          <w:snapToGrid w:val="0"/>
          <w:kern w:val="0"/>
          <w:szCs w:val="21"/>
        </w:rPr>
        <w:t>(</w:t>
      </w:r>
      <w:r>
        <w:rPr>
          <w:rFonts w:hint="eastAsia" w:ascii="宋体" w:hAnsi="宋体"/>
          <w:b/>
          <w:snapToGrid w:val="0"/>
          <w:kern w:val="0"/>
          <w:szCs w:val="21"/>
        </w:rPr>
        <w:t>三</w:t>
      </w:r>
      <w:r>
        <w:rPr>
          <w:rFonts w:ascii="宋体" w:hAnsi="宋体"/>
          <w:b/>
          <w:snapToGrid w:val="0"/>
          <w:kern w:val="0"/>
          <w:szCs w:val="21"/>
        </w:rPr>
        <w:t>)</w:t>
      </w:r>
      <w:r>
        <w:rPr>
          <w:rFonts w:hint="eastAsia" w:ascii="宋体" w:hAnsi="宋体"/>
          <w:b/>
          <w:snapToGrid w:val="0"/>
          <w:kern w:val="0"/>
          <w:szCs w:val="21"/>
        </w:rPr>
        <w:t>排序</w:t>
      </w:r>
    </w:p>
    <w:p>
      <w:pPr>
        <w:spacing w:line="360" w:lineRule="auto"/>
        <w:ind w:firstLine="519" w:firstLineChars="236"/>
        <w:rPr>
          <w:rFonts w:hint="eastAsia" w:ascii="宋体" w:hAnsi="宋体"/>
          <w:snapToGrid w:val="0"/>
          <w:kern w:val="0"/>
          <w:szCs w:val="21"/>
        </w:rPr>
      </w:pPr>
      <w:r>
        <w:rPr>
          <w:rFonts w:hint="eastAsia" w:ascii="宋体" w:hAnsi="宋体"/>
          <w:snapToGrid w:val="0"/>
          <w:kern w:val="0"/>
          <w:szCs w:val="21"/>
        </w:rPr>
        <w:t>磋商小组</w:t>
      </w:r>
      <w:r>
        <w:rPr>
          <w:rFonts w:ascii="宋体" w:hAnsi="宋体"/>
          <w:snapToGrid w:val="0"/>
          <w:kern w:val="0"/>
          <w:szCs w:val="21"/>
        </w:rPr>
        <w:t>按综合得分</w:t>
      </w:r>
      <w:r>
        <w:rPr>
          <w:rFonts w:hint="eastAsia" w:ascii="宋体" w:hAnsi="宋体"/>
          <w:snapToGrid w:val="0"/>
          <w:kern w:val="0"/>
          <w:szCs w:val="21"/>
        </w:rPr>
        <w:t>（</w:t>
      </w:r>
      <w:r>
        <w:rPr>
          <w:rFonts w:ascii="宋体" w:hAnsi="宋体"/>
          <w:snapToGrid w:val="0"/>
          <w:kern w:val="0"/>
          <w:szCs w:val="21"/>
        </w:rPr>
        <w:t>技术分</w:t>
      </w:r>
      <w:r>
        <w:rPr>
          <w:rFonts w:hint="eastAsia" w:ascii="宋体" w:hAnsi="宋体"/>
          <w:snapToGrid w:val="0"/>
          <w:kern w:val="0"/>
          <w:szCs w:val="21"/>
        </w:rPr>
        <w:t xml:space="preserve"> + 商务价格分）</w:t>
      </w:r>
      <w:r>
        <w:rPr>
          <w:rFonts w:ascii="宋体" w:hAnsi="宋体"/>
          <w:snapToGrid w:val="0"/>
          <w:kern w:val="0"/>
          <w:szCs w:val="21"/>
        </w:rPr>
        <w:t>由高到低顺序对</w:t>
      </w:r>
      <w:r>
        <w:rPr>
          <w:rFonts w:hint="eastAsia" w:ascii="宋体" w:hAnsi="宋体"/>
          <w:snapToGrid w:val="0"/>
          <w:kern w:val="0"/>
          <w:szCs w:val="21"/>
        </w:rPr>
        <w:t>供应商</w:t>
      </w:r>
      <w:r>
        <w:rPr>
          <w:rFonts w:ascii="宋体" w:hAnsi="宋体"/>
          <w:snapToGrid w:val="0"/>
          <w:kern w:val="0"/>
          <w:szCs w:val="21"/>
        </w:rPr>
        <w:t>进行排序，</w:t>
      </w:r>
      <w:r>
        <w:rPr>
          <w:rFonts w:hint="eastAsia" w:ascii="宋体" w:hAnsi="宋体" w:cs="宋体"/>
          <w:szCs w:val="21"/>
        </w:rPr>
        <w:t>如出现综合得分并列时，则按</w:t>
      </w:r>
      <w:bookmarkStart w:id="20" w:name="OLE_LINK6"/>
      <w:r>
        <w:rPr>
          <w:rFonts w:hint="eastAsia" w:ascii="宋体" w:hAnsi="宋体" w:cs="宋体"/>
          <w:szCs w:val="21"/>
        </w:rPr>
        <w:t>最后报价</w:t>
      </w:r>
      <w:bookmarkEnd w:id="20"/>
      <w:r>
        <w:rPr>
          <w:rFonts w:hint="eastAsia" w:ascii="宋体" w:hAnsi="宋体" w:cs="宋体"/>
          <w:szCs w:val="21"/>
        </w:rPr>
        <w:t>由低到高排序，综合得分且最后报价相同的，按技术指标优劣顺序排序；如按技术指标优劣顺序排序也出现并列时</w:t>
      </w:r>
      <w:r>
        <w:rPr>
          <w:rFonts w:hint="eastAsia" w:ascii="宋体" w:hAnsi="宋体"/>
          <w:snapToGrid w:val="0"/>
          <w:kern w:val="0"/>
          <w:szCs w:val="21"/>
        </w:rPr>
        <w:t>，</w:t>
      </w:r>
      <w:r>
        <w:rPr>
          <w:rFonts w:ascii="宋体" w:hAnsi="宋体"/>
          <w:snapToGrid w:val="0"/>
          <w:kern w:val="0"/>
          <w:szCs w:val="21"/>
        </w:rPr>
        <w:t>则由评委采用记名投票表决，得票多者排名靠前</w:t>
      </w:r>
      <w:r>
        <w:rPr>
          <w:rFonts w:hint="eastAsia" w:ascii="宋体" w:hAnsi="宋体"/>
          <w:snapToGrid w:val="0"/>
          <w:kern w:val="0"/>
          <w:szCs w:val="21"/>
        </w:rPr>
        <w:t>。</w:t>
      </w:r>
    </w:p>
    <w:p>
      <w:pPr>
        <w:spacing w:line="360" w:lineRule="auto"/>
        <w:ind w:firstLine="519" w:firstLineChars="236"/>
        <w:rPr>
          <w:rFonts w:hint="eastAsia" w:ascii="宋体" w:hAnsi="宋体"/>
          <w:snapToGrid w:val="0"/>
          <w:kern w:val="0"/>
          <w:szCs w:val="21"/>
        </w:rPr>
      </w:pPr>
    </w:p>
    <w:p>
      <w:pPr>
        <w:spacing w:line="360" w:lineRule="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spacing w:line="360" w:lineRule="auto"/>
        <w:ind w:firstLine="440" w:firstLineChars="200"/>
        <w:rPr>
          <w:rFonts w:ascii="宋体" w:hAnsi="宋体"/>
          <w:bCs/>
          <w:snapToGrid w:val="0"/>
          <w:kern w:val="0"/>
          <w:sz w:val="24"/>
          <w:szCs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numPr>
          <w:ilvl w:val="0"/>
          <w:numId w:val="0"/>
        </w:numPr>
        <w:tabs>
          <w:tab w:val="left" w:pos="959"/>
        </w:tabs>
        <w:spacing w:before="0" w:line="413" w:lineRule="exact"/>
        <w:ind w:leftChars="0" w:right="0" w:rightChars="0"/>
        <w:jc w:val="both"/>
        <w:rPr>
          <w:rFonts w:ascii="Microsoft JhengHei" w:eastAsia="Microsoft JhengHei"/>
          <w:b/>
          <w:sz w:val="24"/>
        </w:rPr>
      </w:pPr>
    </w:p>
    <w:p>
      <w:pPr>
        <w:pStyle w:val="2"/>
        <w:spacing w:after="0" w:line="360" w:lineRule="auto"/>
        <w:ind w:left="0" w:leftChars="0" w:firstLine="0" w:firstLineChars="0"/>
        <w:jc w:val="center"/>
        <w:outlineLvl w:val="1"/>
        <w:rPr>
          <w:rFonts w:hint="eastAsia" w:ascii="宋体" w:hAnsi="宋体"/>
          <w:b/>
          <w:sz w:val="30"/>
          <w:szCs w:val="30"/>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hint="eastAsia" w:eastAsia="宋体"/>
          <w:b/>
          <w:sz w:val="28"/>
          <w:szCs w:val="28"/>
          <w:lang w:val="en-US" w:eastAsia="zh-CN"/>
        </w:rPr>
      </w:pPr>
    </w:p>
    <w:p>
      <w:pPr>
        <w:pStyle w:val="3"/>
        <w:keepNext w:val="0"/>
        <w:keepLines w:val="0"/>
        <w:numPr>
          <w:ilvl w:val="0"/>
          <w:numId w:val="0"/>
        </w:numPr>
        <w:spacing w:before="0" w:after="0" w:line="360" w:lineRule="auto"/>
        <w:ind w:right="0" w:rightChars="0" w:firstLine="3654" w:firstLineChars="13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spacing w:line="360" w:lineRule="auto"/>
        <w:jc w:val="center"/>
        <w:rPr>
          <w:rFonts w:ascii="宋体" w:hAnsi="宋体" w:eastAsia="宋体" w:cs="MS Gothic"/>
          <w:sz w:val="56"/>
          <w:szCs w:val="56"/>
        </w:rPr>
      </w:pPr>
      <w:r>
        <w:rPr>
          <w:rFonts w:hint="eastAsia" w:ascii="宋体" w:hAnsi="宋体" w:eastAsia="宋体" w:cs="宋体"/>
          <w:sz w:val="56"/>
          <w:szCs w:val="56"/>
        </w:rPr>
        <w:t>科普视频长期供应商</w:t>
      </w:r>
    </w:p>
    <w:p>
      <w:pPr>
        <w:jc w:val="center"/>
        <w:rPr>
          <w:rFonts w:ascii="宋体" w:hAnsi="宋体"/>
          <w:b/>
          <w:sz w:val="48"/>
          <w:szCs w:val="48"/>
        </w:rPr>
      </w:pPr>
    </w:p>
    <w:p>
      <w:pPr>
        <w:jc w:val="center"/>
        <w:rPr>
          <w:rFonts w:ascii="宋体" w:hAnsi="宋体"/>
          <w:b/>
          <w:sz w:val="48"/>
          <w:szCs w:val="48"/>
        </w:rPr>
      </w:pP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1" w:name="_Toc458971242"/>
      <w:bookmarkStart w:id="22" w:name="_Toc392227906"/>
      <w:bookmarkStart w:id="23" w:name="_Toc457748049"/>
      <w:r>
        <w:rPr>
          <w:rFonts w:ascii="宋体" w:hAnsi="宋体" w:eastAsia="宋体"/>
          <w:sz w:val="24"/>
          <w:szCs w:val="24"/>
        </w:rPr>
        <w:t>目    录</w:t>
      </w:r>
      <w:bookmarkEnd w:id="21"/>
      <w:bookmarkEnd w:id="22"/>
      <w:bookmarkEnd w:id="23"/>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4" w:name="_Toc352691656"/>
      <w:bookmarkStart w:id="25" w:name="_Toc369531692"/>
      <w:bookmarkStart w:id="26" w:name="_Toc6931"/>
      <w:r>
        <w:rPr>
          <w:rFonts w:hint="eastAsia" w:ascii="宋体" w:hAnsi="宋体" w:eastAsia="宋体"/>
          <w:sz w:val="30"/>
          <w:szCs w:val="30"/>
        </w:rPr>
        <w:t>磋商响应函</w:t>
      </w:r>
    </w:p>
    <w:bookmarkEnd w:id="24"/>
    <w:bookmarkEnd w:id="25"/>
    <w:bookmarkEnd w:id="26"/>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eastAsia="宋体" w:cs="宋体"/>
          <w:sz w:val="24"/>
          <w:szCs w:val="24"/>
          <w:u w:val="single"/>
        </w:rPr>
        <w:t>科普视频长期供应商</w:t>
      </w:r>
      <w:r>
        <w:rPr>
          <w:rFonts w:ascii="宋体" w:hAnsi="宋体"/>
          <w:szCs w:val="21"/>
        </w:rPr>
        <w:t>采购项目</w:t>
      </w:r>
      <w:r>
        <w:rPr>
          <w:rFonts w:hint="eastAsia" w:ascii="宋体" w:hAnsi="宋体"/>
          <w:szCs w:val="21"/>
        </w:rPr>
        <w:t>的磋商文件，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ascii="宋体" w:hAnsi="宋体"/>
          <w:szCs w:val="21"/>
        </w:rPr>
        <w:t>磋商最后报价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ascii="宋体" w:hAnsi="宋体"/>
          <w:szCs w:val="21"/>
        </w:rPr>
        <w:t>磋商响应函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ascii="宋体" w:hAnsi="宋体"/>
          <w:szCs w:val="21"/>
        </w:rPr>
        <w:t>磋商文件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ascii="宋体" w:hAnsi="宋体"/>
          <w:szCs w:val="21"/>
        </w:rPr>
        <w:t>磋商文件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27" w:name="_Toc1187"/>
      <w:bookmarkStart w:id="28" w:name="_Toc369531694"/>
      <w:bookmarkStart w:id="29" w:name="_Toc352691658"/>
      <w:r>
        <w:rPr>
          <w:rFonts w:ascii="宋体" w:hAnsi="宋体"/>
          <w:szCs w:val="21"/>
        </w:rPr>
        <w:t>（</w:t>
      </w:r>
      <w:r>
        <w:rPr>
          <w:rFonts w:hint="eastAsia" w:ascii="宋体" w:hAnsi="宋体"/>
          <w:szCs w:val="21"/>
        </w:rPr>
        <w:t>3</w:t>
      </w:r>
      <w:r>
        <w:rPr>
          <w:rFonts w:ascii="宋体" w:hAnsi="宋体"/>
          <w:szCs w:val="21"/>
        </w:rPr>
        <w:t>）在合</w:t>
      </w:r>
      <w:bookmarkEnd w:id="27"/>
      <w:bookmarkEnd w:id="28"/>
      <w:bookmarkEnd w:id="29"/>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352691660"/>
      <w:bookmarkStart w:id="34" w:name="_Toc16824"/>
      <w:bookmarkStart w:id="35" w:name="_Toc369531696"/>
      <w:r>
        <w:rPr>
          <w:rFonts w:ascii="宋体" w:hAnsi="宋体"/>
          <w:szCs w:val="21"/>
          <w:u w:val="single"/>
        </w:rPr>
        <w:t xml:space="preserve">           </w:t>
      </w:r>
      <w:bookmarkEnd w:id="33"/>
      <w:bookmarkEnd w:id="34"/>
      <w:bookmarkEnd w:id="35"/>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6" w:name="_Toc458971245"/>
      <w:bookmarkStart w:id="37" w:name="_Toc392227908"/>
      <w:bookmarkStart w:id="38" w:name="_Toc457748054"/>
      <w:bookmarkStart w:id="39" w:name="_Toc457748053"/>
      <w:r>
        <w:rPr>
          <w:rFonts w:ascii="宋体" w:hAnsi="宋体"/>
          <w:sz w:val="30"/>
          <w:szCs w:val="30"/>
        </w:rPr>
        <w:t>法定代表人（单位负责人）身份证明</w:t>
      </w:r>
      <w:bookmarkEnd w:id="36"/>
      <w:bookmarkEnd w:id="37"/>
      <w:bookmarkEnd w:id="38"/>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2"/>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0" w:name="_Toc458971246"/>
      <w:bookmarkStart w:id="41" w:name="OLE_LINK1"/>
      <w:bookmarkStart w:id="42" w:name="OLE_LINK2"/>
      <w:r>
        <w:rPr>
          <w:rFonts w:ascii="宋体" w:hAnsi="宋体"/>
          <w:b/>
          <w:sz w:val="30"/>
          <w:szCs w:val="30"/>
        </w:rPr>
        <w:t>法定代表人（单位负责人）授权委托书</w:t>
      </w:r>
      <w:bookmarkEnd w:id="40"/>
      <w:bookmarkEnd w:id="41"/>
      <w:bookmarkEnd w:id="42"/>
    </w:p>
    <w:p>
      <w:pPr>
        <w:spacing w:line="360" w:lineRule="auto"/>
        <w:ind w:firstLine="602" w:firstLineChars="200"/>
        <w:jc w:val="center"/>
        <w:rPr>
          <w:rFonts w:hint="eastAsia" w:ascii="宋体" w:hAnsi="宋体"/>
          <w:b/>
          <w:sz w:val="30"/>
          <w:szCs w:val="30"/>
        </w:rPr>
      </w:pPr>
    </w:p>
    <w:p>
      <w:pPr>
        <w:spacing w:line="360" w:lineRule="auto"/>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宋体" w:hAnsi="宋体" w:eastAsia="宋体" w:cs="宋体"/>
          <w:sz w:val="22"/>
          <w:szCs w:val="22"/>
          <w:u w:val="single"/>
        </w:rPr>
        <w:t>科普视频长期供应商</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7"/>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2"/>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39"/>
      <w:r>
        <w:rPr>
          <w:w w:val="95"/>
        </w:rPr>
        <w:t>3、报价一览表格</w:t>
      </w:r>
      <w:r>
        <w:rPr>
          <w:spacing w:val="-10"/>
          <w:w w:val="95"/>
        </w:rPr>
        <w:t>式</w:t>
      </w:r>
    </w:p>
    <w:tbl>
      <w:tblPr>
        <w:tblStyle w:val="12"/>
        <w:tblpPr w:leftFromText="180" w:rightFromText="180" w:vertAnchor="text" w:horzAnchor="page" w:tblpX="1422" w:tblpY="164"/>
        <w:tblOverlap w:val="never"/>
        <w:tblW w:w="7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03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0" w:hRule="atLeast"/>
        </w:trPr>
        <w:tc>
          <w:tcPr>
            <w:tcW w:w="3034" w:type="dxa"/>
            <w:noWrap w:val="0"/>
            <w:vAlign w:val="center"/>
          </w:tcPr>
          <w:p>
            <w:pPr>
              <w:keepNext w:val="0"/>
              <w:keepLines w:val="0"/>
              <w:pageBreakBefore w:val="0"/>
              <w:kinsoku/>
              <w:wordWrap/>
              <w:overflowPunct/>
              <w:bidi w:val="0"/>
              <w:jc w:val="center"/>
              <w:rPr>
                <w:rFonts w:ascii="宋体" w:hAnsi="宋体"/>
                <w:szCs w:val="21"/>
              </w:rPr>
            </w:pPr>
            <w:r>
              <w:rPr>
                <w:rFonts w:hint="eastAsia" w:ascii="宋体" w:hAnsi="宋体"/>
                <w:szCs w:val="21"/>
              </w:rPr>
              <w:t>项目名称</w:t>
            </w:r>
          </w:p>
        </w:tc>
        <w:tc>
          <w:tcPr>
            <w:tcW w:w="4614" w:type="dxa"/>
            <w:noWrap w:val="0"/>
            <w:vAlign w:val="center"/>
          </w:tcPr>
          <w:p>
            <w:pPr>
              <w:keepNext w:val="0"/>
              <w:keepLines w:val="0"/>
              <w:pageBreakBefore w:val="0"/>
              <w:kinsoku/>
              <w:wordWrap/>
              <w:overflowPunct/>
              <w:bidi w:val="0"/>
              <w:jc w:val="center"/>
              <w:rPr>
                <w:rFonts w:hint="eastAsia" w:ascii="宋体" w:hAnsi="宋体" w:eastAsia="宋体"/>
                <w:szCs w:val="21"/>
                <w:lang w:val="en-US" w:eastAsia="zh-CN"/>
              </w:rPr>
            </w:pPr>
            <w:r>
              <w:rPr>
                <w:rFonts w:hint="eastAsia" w:ascii="宋体" w:hAnsi="宋体"/>
                <w:szCs w:val="21"/>
              </w:rPr>
              <w:t>投标</w:t>
            </w:r>
            <w:r>
              <w:rPr>
                <w:rFonts w:hint="eastAsia" w:ascii="宋体" w:hAnsi="宋体"/>
                <w:szCs w:val="21"/>
                <w:lang w:val="en-US" w:eastAsia="zh-CN"/>
              </w:rPr>
              <w:t>报价</w:t>
            </w:r>
          </w:p>
          <w:p>
            <w:pPr>
              <w:keepNext w:val="0"/>
              <w:keepLines w:val="0"/>
              <w:pageBreakBefore w:val="0"/>
              <w:kinsoku/>
              <w:wordWrap/>
              <w:overflowPunct/>
              <w:bidi w:val="0"/>
              <w:jc w:val="center"/>
              <w:rPr>
                <w:rFonts w:hint="default" w:ascii="宋体" w:hAnsi="宋体" w:eastAsia="宋体"/>
                <w:szCs w:val="21"/>
                <w:lang w:val="en-US" w:eastAsia="zh-CN"/>
              </w:rPr>
            </w:pPr>
            <w:r>
              <w:rPr>
                <w:rFonts w:hint="eastAsia" w:ascii="宋体" w:hAnsi="宋体" w:cs="宋体"/>
                <w:szCs w:val="21"/>
                <w:lang w:eastAsia="zh-CN"/>
              </w:rPr>
              <w:t>（</w:t>
            </w:r>
            <w:r>
              <w:rPr>
                <w:rFonts w:hint="eastAsia" w:ascii="宋体" w:hAnsi="宋体" w:eastAsia="宋体" w:cs="宋体"/>
                <w:szCs w:val="21"/>
              </w:rPr>
              <w:t>元</w:t>
            </w:r>
            <w:r>
              <w:rPr>
                <w:rFonts w:hint="eastAsia" w:cs="宋体"/>
                <w:szCs w:val="21"/>
                <w:lang w:val="en-US" w:eastAsia="zh-CN"/>
              </w:rPr>
              <w:t>/分钟</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80" w:hRule="atLeast"/>
        </w:trPr>
        <w:tc>
          <w:tcPr>
            <w:tcW w:w="3034" w:type="dxa"/>
            <w:noWrap w:val="0"/>
            <w:vAlign w:val="center"/>
          </w:tcPr>
          <w:p>
            <w:pPr>
              <w:spacing w:line="360" w:lineRule="auto"/>
              <w:rPr>
                <w:rFonts w:ascii="宋体" w:hAnsi="宋体" w:eastAsia="宋体" w:cs="MS Gothic"/>
                <w:sz w:val="24"/>
                <w:szCs w:val="24"/>
              </w:rPr>
            </w:pPr>
            <w:r>
              <w:rPr>
                <w:rFonts w:hint="eastAsia" w:ascii="宋体" w:hAnsi="宋体" w:eastAsia="宋体" w:cs="宋体"/>
                <w:sz w:val="24"/>
                <w:szCs w:val="24"/>
              </w:rPr>
              <w:t>科普视频长期供应商</w:t>
            </w:r>
          </w:p>
          <w:p>
            <w:pPr>
              <w:keepNext w:val="0"/>
              <w:keepLines w:val="0"/>
              <w:pageBreakBefore w:val="0"/>
              <w:kinsoku/>
              <w:wordWrap/>
              <w:overflowPunct/>
              <w:bidi w:val="0"/>
              <w:jc w:val="both"/>
              <w:rPr>
                <w:rFonts w:hint="eastAsia" w:ascii="宋体" w:hAnsi="宋体" w:eastAsia="宋体"/>
                <w:sz w:val="21"/>
                <w:szCs w:val="21"/>
                <w:u w:val="none"/>
                <w:lang w:eastAsia="zh-CN"/>
              </w:rPr>
            </w:pPr>
          </w:p>
        </w:tc>
        <w:tc>
          <w:tcPr>
            <w:tcW w:w="4614" w:type="dxa"/>
            <w:noWrap w:val="0"/>
            <w:vAlign w:val="center"/>
          </w:tcPr>
          <w:p>
            <w:pPr>
              <w:jc w:val="both"/>
              <w:rPr>
                <w:rFonts w:hint="eastAsia" w:ascii="宋体" w:hAnsi="宋体" w:eastAsia="宋体" w:cs="宋体"/>
                <w:szCs w:val="21"/>
                <w:lang w:val="en-US" w:eastAsia="zh-CN"/>
              </w:rPr>
            </w:pPr>
            <w:r>
              <w:rPr>
                <w:rFonts w:hint="eastAsia" w:ascii="宋体" w:hAnsi="宋体" w:eastAsia="宋体" w:cs="宋体"/>
                <w:szCs w:val="21"/>
              </w:rPr>
              <w:t>小写</w:t>
            </w:r>
          </w:p>
          <w:p>
            <w:pPr>
              <w:keepNext w:val="0"/>
              <w:keepLines w:val="0"/>
              <w:pageBreakBefore w:val="0"/>
              <w:kinsoku/>
              <w:wordWrap/>
              <w:overflowPunct/>
              <w:bidi w:val="0"/>
              <w:jc w:val="both"/>
              <w:rPr>
                <w:rFonts w:hint="eastAsia" w:ascii="宋体" w:hAnsi="宋体" w:eastAsia="宋体"/>
                <w:szCs w:val="21"/>
                <w:lang w:val="en-US" w:eastAsia="zh-CN"/>
              </w:rPr>
            </w:pPr>
            <w:r>
              <w:rPr>
                <w:rFonts w:hint="eastAsia" w:ascii="宋体" w:hAnsi="宋体" w:eastAsia="宋体" w:cs="宋体"/>
                <w:szCs w:val="21"/>
              </w:rPr>
              <w:t>大写：</w:t>
            </w:r>
          </w:p>
        </w:tc>
      </w:tr>
    </w:tbl>
    <w:p>
      <w:pPr>
        <w:pStyle w:val="2"/>
        <w:ind w:left="0"/>
        <w:rPr>
          <w:sz w:val="20"/>
        </w:rPr>
      </w:pPr>
    </w:p>
    <w:p>
      <w:pPr>
        <w:pStyle w:val="2"/>
        <w:ind w:left="0"/>
        <w:rPr>
          <w:sz w:val="20"/>
        </w:rPr>
      </w:pPr>
    </w:p>
    <w:p>
      <w:pPr>
        <w:pStyle w:val="2"/>
        <w:spacing w:before="1"/>
        <w:ind w:left="0"/>
        <w:rPr>
          <w:sz w:val="28"/>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pPr>
      <w:r>
        <w:rPr>
          <w:spacing w:val="-4"/>
        </w:rPr>
        <w:t>说明</w:t>
      </w:r>
      <w:r>
        <w:rPr>
          <w:spacing w:val="20"/>
        </w:rPr>
        <w:t>：（1</w:t>
      </w:r>
      <w:r>
        <w:rPr>
          <w:spacing w:val="-100"/>
        </w:rPr>
        <w:t>）</w:t>
      </w:r>
      <w:r>
        <w:rPr>
          <w:spacing w:val="-2"/>
        </w:rPr>
        <w:t>“单价合计金额</w:t>
      </w:r>
      <w:r>
        <w:rPr>
          <w:spacing w:val="-4"/>
        </w:rPr>
        <w:t>（元</w:t>
      </w:r>
      <w:r>
        <w:rPr>
          <w:spacing w:val="-120"/>
        </w:rPr>
        <w:t>）</w:t>
      </w:r>
      <w:r>
        <w:rPr>
          <w:spacing w:val="-4"/>
        </w:rPr>
        <w:t>”指所有价格均系用人民币表示，</w:t>
      </w:r>
      <w:r>
        <w:rPr>
          <w:spacing w:val="-2"/>
        </w:rPr>
        <w:t>单位为元，精确到个位数。</w:t>
      </w:r>
    </w:p>
    <w:p>
      <w:pPr>
        <w:pStyle w:val="18"/>
        <w:numPr>
          <w:ilvl w:val="0"/>
          <w:numId w:val="0"/>
        </w:numPr>
        <w:tabs>
          <w:tab w:val="left" w:pos="1529"/>
          <w:tab w:val="left" w:pos="5847"/>
        </w:tabs>
        <w:spacing w:before="160" w:after="0" w:line="364" w:lineRule="auto"/>
        <w:ind w:right="1858" w:rightChars="0"/>
        <w:jc w:val="left"/>
        <w:rPr>
          <w:sz w:val="24"/>
        </w:rPr>
      </w:pPr>
      <w:r>
        <w:pict>
          <v:line id="_x0000_s1030" o:spid="_x0000_s1030" o:spt="20" style="position:absolute;left:0pt;margin-left:169.25pt;margin-top:68.65pt;height:0pt;width:181.65pt;mso-position-horizontal-relative:page;z-index:-16837632;mso-width-relative:page;mso-height-relative:page;" stroked="t" coordsize="21600,21600">
            <v:path arrowok="t"/>
            <v:fill focussize="0,0"/>
            <v:stroke color="#000000"/>
            <v:imagedata o:title=""/>
            <o:lock v:ext="edit"/>
          </v:line>
        </w:pict>
      </w:r>
      <w:r>
        <w:rPr>
          <w:rFonts w:hint="eastAsia"/>
          <w:spacing w:val="-2"/>
          <w:sz w:val="24"/>
          <w:lang w:val="en-US" w:eastAsia="zh-CN"/>
        </w:rPr>
        <w:t>（2）</w:t>
      </w:r>
      <w:r>
        <w:rPr>
          <w:spacing w:val="-2"/>
          <w:sz w:val="24"/>
        </w:rPr>
        <w:t>供应商应按照《采购需求》和《供应商须知》的要求报价。</w:t>
      </w:r>
    </w:p>
    <w:p>
      <w:pPr>
        <w:pStyle w:val="18"/>
        <w:numPr>
          <w:ilvl w:val="0"/>
          <w:numId w:val="0"/>
        </w:numPr>
        <w:tabs>
          <w:tab w:val="left" w:pos="1529"/>
          <w:tab w:val="left" w:pos="5847"/>
        </w:tabs>
        <w:spacing w:before="160" w:after="0" w:line="364" w:lineRule="auto"/>
        <w:ind w:right="1858" w:rightChars="0"/>
        <w:jc w:val="left"/>
        <w:rPr>
          <w:sz w:val="24"/>
        </w:rPr>
      </w:pPr>
      <w:r>
        <w:rPr>
          <w:spacing w:val="-2"/>
          <w:sz w:val="24"/>
        </w:rPr>
        <w:t>供应商授权代表签字或</w:t>
      </w:r>
      <w:r>
        <w:rPr>
          <w:spacing w:val="-2"/>
          <w:sz w:val="24"/>
          <w:u w:val="single"/>
        </w:rPr>
        <w:t>盖章：</w:t>
      </w:r>
      <w:r>
        <w:rPr>
          <w:sz w:val="24"/>
          <w:u w:val="single"/>
        </w:rPr>
        <w:tab/>
      </w:r>
      <w:r>
        <w:rPr>
          <w:spacing w:val="15840"/>
          <w:sz w:val="24"/>
        </w:rPr>
        <w:t xml:space="preserve"> </w:t>
      </w:r>
      <w:r>
        <w:rPr>
          <w:spacing w:val="-2"/>
          <w:sz w:val="24"/>
        </w:rPr>
        <w:t>供应商（公章）：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center"/>
        <w:rPr>
          <w:spacing w:val="-2"/>
        </w:rPr>
      </w:pPr>
    </w:p>
    <w:p>
      <w:pPr>
        <w:adjustRightInd w:val="0"/>
        <w:snapToGrid w:val="0"/>
        <w:spacing w:line="360" w:lineRule="auto"/>
        <w:jc w:val="both"/>
        <w:rPr>
          <w:spacing w:val="-2"/>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4、报价分类明细表格式</w:t>
      </w:r>
    </w:p>
    <w:p>
      <w:pPr>
        <w:adjustRightInd w:val="0"/>
        <w:snapToGrid w:val="0"/>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项目名称：</w:t>
      </w:r>
    </w:p>
    <w:p>
      <w:pPr>
        <w:adjustRightInd w:val="0"/>
        <w:snapToGrid w:val="0"/>
        <w:spacing w:line="360" w:lineRule="auto"/>
        <w:jc w:val="center"/>
        <w:rPr>
          <w:rFonts w:asciiTheme="minorEastAsia" w:hAnsiTheme="minorEastAsia" w:eastAsiaTheme="minorEastAsia"/>
          <w:sz w:val="24"/>
        </w:rPr>
      </w:pPr>
    </w:p>
    <w:tbl>
      <w:tblPr>
        <w:tblStyle w:val="12"/>
        <w:tblW w:w="737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25"/>
        <w:gridCol w:w="20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分类名称</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报价费用</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其他费用</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利润</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税金</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详见明细（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报价合计</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bl>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说明：（1）所有价格均系用人民币表示，单位为元，精确到个位数。</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（2）供应商应按照《采购需求》和《供应商须知》的要求报价。</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（3）供应商应根据分类报价费用情况编制明细费用表并随本表一起提供。</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供应商授权代表签字或盖章：</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mc:AlternateContent>
          <mc:Choice Requires="wps">
            <w:drawing>
              <wp:anchor distT="0" distB="0" distL="114300" distR="114300" simplePos="0" relativeHeight="956143616"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956143616;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UHS9YAAAAJAQAADwAAAAAAAAABACAAAAAi&#10;AAAAZHJzL2Rvd25yZXYueG1sUEsBAhQAFAAAAAgAh07iQCB5sC7TAQAAdwMAAA4AAAAAAAAAAQAg&#10;AAAAJQEAAGRycy9lMm9Eb2MueG1sUEsFBgAAAAAGAAYAWQEAAGoFAAAAAA==&#10;">
                <v:fill on="f" focussize="0,0"/>
                <v:stroke color="#000000" joinstyle="round"/>
                <v:imagedata o:title=""/>
                <o:lock v:ext="edit" aspectratio="f"/>
              </v:line>
            </w:pict>
          </mc:Fallback>
        </mc:AlternateContent>
      </w:r>
      <w:r>
        <w:rPr>
          <w:rFonts w:hint="eastAsia" w:asciiTheme="minorEastAsia" w:hAnsiTheme="minorEastAsia" w:eastAsiaTheme="minorEastAsia"/>
          <w:sz w:val="24"/>
        </w:rPr>
        <w:t xml:space="preserve">  供应商（公章）：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日期：年月日</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4"/>
        <w:keepNext w:val="0"/>
        <w:keepLines w:val="0"/>
        <w:spacing w:before="0" w:after="0" w:line="360" w:lineRule="auto"/>
        <w:jc w:val="center"/>
        <w:rPr>
          <w:rFonts w:ascii="宋体" w:hAnsi="宋体" w:eastAsia="宋体"/>
          <w:sz w:val="30"/>
          <w:szCs w:val="30"/>
        </w:rPr>
      </w:pPr>
      <w:bookmarkStart w:id="43" w:name="_Toc392227915"/>
      <w:bookmarkStart w:id="44" w:name="_Toc457748058"/>
      <w:bookmarkStart w:id="45" w:name="_Toc458971251"/>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3"/>
      <w:bookmarkEnd w:id="44"/>
      <w:bookmarkEnd w:id="45"/>
    </w:p>
    <w:p>
      <w:pPr>
        <w:pStyle w:val="19"/>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2"/>
        <w:ind w:left="0"/>
        <w:rPr>
          <w:rFonts w:ascii="Microsoft JhengHei"/>
          <w:b/>
        </w:rPr>
      </w:pPr>
    </w:p>
    <w:p>
      <w:pPr>
        <w:pStyle w:val="2"/>
        <w:ind w:left="0"/>
        <w:rPr>
          <w:rFonts w:ascii="Microsoft JhengHei"/>
          <w:b/>
        </w:rPr>
      </w:pPr>
    </w:p>
    <w:p>
      <w:pPr>
        <w:pStyle w:val="2"/>
        <w:ind w:left="0"/>
        <w:rPr>
          <w:rFonts w:ascii="Microsoft JhengHei"/>
          <w:b/>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2"/>
        <w:tblW w:w="93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76" w:type="dxa"/>
            <w:vMerge w:val="restart"/>
          </w:tcPr>
          <w:p>
            <w:pPr>
              <w:pStyle w:val="19"/>
              <w:spacing w:before="7"/>
              <w:rPr>
                <w:rFonts w:ascii="Microsoft JhengHei"/>
                <w:b/>
                <w:sz w:val="16"/>
              </w:rPr>
            </w:pPr>
          </w:p>
          <w:p>
            <w:pPr>
              <w:pStyle w:val="19"/>
              <w:spacing w:line="364" w:lineRule="auto"/>
              <w:ind w:left="218" w:right="207"/>
              <w:rPr>
                <w:sz w:val="24"/>
              </w:rPr>
            </w:pPr>
            <w:r>
              <w:rPr>
                <w:spacing w:val="-10"/>
                <w:sz w:val="24"/>
              </w:rPr>
              <w:t>序号</w:t>
            </w:r>
          </w:p>
        </w:tc>
        <w:tc>
          <w:tcPr>
            <w:tcW w:w="679" w:type="dxa"/>
            <w:vMerge w:val="restart"/>
          </w:tcPr>
          <w:p>
            <w:pPr>
              <w:pStyle w:val="19"/>
              <w:spacing w:before="7"/>
              <w:rPr>
                <w:rFonts w:ascii="Microsoft JhengHei"/>
                <w:b/>
                <w:sz w:val="16"/>
              </w:rPr>
            </w:pPr>
          </w:p>
          <w:p>
            <w:pPr>
              <w:pStyle w:val="19"/>
              <w:spacing w:line="364" w:lineRule="auto"/>
              <w:ind w:left="219" w:right="207"/>
              <w:rPr>
                <w:sz w:val="24"/>
              </w:rPr>
            </w:pPr>
            <w:r>
              <w:rPr>
                <w:spacing w:val="-10"/>
                <w:sz w:val="24"/>
              </w:rPr>
              <w:t>年份</w:t>
            </w:r>
          </w:p>
        </w:tc>
        <w:tc>
          <w:tcPr>
            <w:tcW w:w="1134" w:type="dxa"/>
            <w:vMerge w:val="restart"/>
          </w:tcPr>
          <w:p>
            <w:pPr>
              <w:pStyle w:val="19"/>
              <w:spacing w:before="7"/>
              <w:rPr>
                <w:rFonts w:ascii="Microsoft JhengHei"/>
                <w:b/>
                <w:sz w:val="16"/>
              </w:rPr>
            </w:pPr>
          </w:p>
          <w:p>
            <w:pPr>
              <w:pStyle w:val="19"/>
              <w:spacing w:line="364" w:lineRule="auto"/>
              <w:ind w:left="108" w:right="295"/>
              <w:rPr>
                <w:sz w:val="24"/>
              </w:rPr>
            </w:pPr>
            <w:r>
              <w:rPr>
                <w:spacing w:val="-4"/>
                <w:sz w:val="24"/>
              </w:rPr>
              <w:t>项目名</w:t>
            </w:r>
            <w:r>
              <w:rPr>
                <w:spacing w:val="-10"/>
                <w:sz w:val="24"/>
              </w:rPr>
              <w:t>称</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项目内</w:t>
            </w:r>
            <w:r>
              <w:rPr>
                <w:spacing w:val="-10"/>
                <w:sz w:val="24"/>
              </w:rPr>
              <w:t>容</w:t>
            </w:r>
          </w:p>
        </w:tc>
        <w:tc>
          <w:tcPr>
            <w:tcW w:w="1134" w:type="dxa"/>
            <w:vMerge w:val="restart"/>
          </w:tcPr>
          <w:p>
            <w:pPr>
              <w:pStyle w:val="19"/>
              <w:spacing w:before="7"/>
              <w:rPr>
                <w:rFonts w:ascii="Microsoft JhengHei"/>
                <w:b/>
                <w:sz w:val="16"/>
              </w:rPr>
            </w:pPr>
          </w:p>
          <w:p>
            <w:pPr>
              <w:pStyle w:val="19"/>
              <w:spacing w:line="364" w:lineRule="auto"/>
              <w:ind w:left="107" w:right="294"/>
              <w:rPr>
                <w:sz w:val="24"/>
              </w:rPr>
            </w:pPr>
            <w:r>
              <w:rPr>
                <w:spacing w:val="-4"/>
                <w:sz w:val="24"/>
              </w:rPr>
              <w:t>服务时</w:t>
            </w:r>
            <w:r>
              <w:rPr>
                <w:spacing w:val="-10"/>
                <w:sz w:val="24"/>
              </w:rPr>
              <w:t>间</w:t>
            </w:r>
          </w:p>
        </w:tc>
        <w:tc>
          <w:tcPr>
            <w:tcW w:w="1357" w:type="dxa"/>
            <w:vMerge w:val="restart"/>
          </w:tcPr>
          <w:p>
            <w:pPr>
              <w:pStyle w:val="19"/>
              <w:spacing w:before="7"/>
              <w:rPr>
                <w:rFonts w:ascii="Microsoft JhengHei"/>
                <w:b/>
                <w:sz w:val="16"/>
              </w:rPr>
            </w:pPr>
          </w:p>
          <w:p>
            <w:pPr>
              <w:pStyle w:val="19"/>
              <w:ind w:left="198"/>
              <w:rPr>
                <w:sz w:val="24"/>
              </w:rPr>
            </w:pPr>
            <w:r>
              <w:rPr>
                <w:spacing w:val="-3"/>
                <w:sz w:val="24"/>
              </w:rPr>
              <w:t>合同金额</w:t>
            </w:r>
          </w:p>
          <w:p>
            <w:pPr>
              <w:pStyle w:val="19"/>
              <w:spacing w:before="159"/>
              <w:ind w:left="198"/>
              <w:rPr>
                <w:sz w:val="24"/>
              </w:rPr>
            </w:pPr>
            <w:r>
              <w:rPr>
                <w:sz w:val="24"/>
              </w:rPr>
              <w:t>（万元</w:t>
            </w:r>
            <w:r>
              <w:rPr>
                <w:spacing w:val="-10"/>
                <w:sz w:val="24"/>
              </w:rPr>
              <w:t>）</w:t>
            </w:r>
          </w:p>
        </w:tc>
        <w:tc>
          <w:tcPr>
            <w:tcW w:w="3270" w:type="dxa"/>
            <w:gridSpan w:val="3"/>
          </w:tcPr>
          <w:p>
            <w:pPr>
              <w:pStyle w:val="19"/>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76"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19"/>
              <w:spacing w:before="3"/>
              <w:ind w:left="117"/>
              <w:rPr>
                <w:sz w:val="24"/>
              </w:rPr>
            </w:pPr>
            <w:r>
              <w:rPr>
                <w:spacing w:val="-3"/>
                <w:sz w:val="24"/>
              </w:rPr>
              <w:t>单位名称</w:t>
            </w:r>
          </w:p>
        </w:tc>
        <w:tc>
          <w:tcPr>
            <w:tcW w:w="851" w:type="dxa"/>
          </w:tcPr>
          <w:p>
            <w:pPr>
              <w:pStyle w:val="19"/>
              <w:spacing w:before="3"/>
              <w:ind w:left="170" w:right="161"/>
              <w:jc w:val="center"/>
              <w:rPr>
                <w:sz w:val="24"/>
              </w:rPr>
            </w:pPr>
            <w:r>
              <w:rPr>
                <w:spacing w:val="-5"/>
                <w:sz w:val="24"/>
              </w:rPr>
              <w:t>经办</w:t>
            </w:r>
          </w:p>
          <w:p>
            <w:pPr>
              <w:pStyle w:val="19"/>
              <w:spacing w:before="160"/>
              <w:ind w:left="9"/>
              <w:jc w:val="center"/>
              <w:rPr>
                <w:sz w:val="24"/>
              </w:rPr>
            </w:pPr>
            <w:r>
              <w:rPr>
                <w:sz w:val="24"/>
              </w:rPr>
              <w:t>人</w:t>
            </w:r>
          </w:p>
        </w:tc>
        <w:tc>
          <w:tcPr>
            <w:tcW w:w="1225" w:type="dxa"/>
          </w:tcPr>
          <w:p>
            <w:pPr>
              <w:pStyle w:val="19"/>
              <w:spacing w:before="16"/>
              <w:rPr>
                <w:rFonts w:ascii="Microsoft JhengHei"/>
                <w:b/>
                <w:sz w:val="12"/>
              </w:rPr>
            </w:pPr>
          </w:p>
          <w:p>
            <w:pPr>
              <w:pStyle w:val="19"/>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1</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2</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3</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19"/>
              <w:spacing w:before="84"/>
              <w:ind w:left="10"/>
              <w:jc w:val="center"/>
              <w:rPr>
                <w:sz w:val="24"/>
              </w:rPr>
            </w:pPr>
            <w:r>
              <w:rPr>
                <w:sz w:val="24"/>
              </w:rPr>
              <w:t>4</w:t>
            </w:r>
          </w:p>
        </w:tc>
        <w:tc>
          <w:tcPr>
            <w:tcW w:w="679"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134" w:type="dxa"/>
          </w:tcPr>
          <w:p>
            <w:pPr>
              <w:pStyle w:val="19"/>
              <w:rPr>
                <w:rFonts w:ascii="Times New Roman"/>
                <w:sz w:val="24"/>
              </w:rPr>
            </w:pPr>
          </w:p>
        </w:tc>
        <w:tc>
          <w:tcPr>
            <w:tcW w:w="1357" w:type="dxa"/>
          </w:tcPr>
          <w:p>
            <w:pPr>
              <w:pStyle w:val="19"/>
              <w:rPr>
                <w:rFonts w:ascii="Times New Roman"/>
                <w:sz w:val="24"/>
              </w:rPr>
            </w:pPr>
          </w:p>
        </w:tc>
        <w:tc>
          <w:tcPr>
            <w:tcW w:w="1194" w:type="dxa"/>
          </w:tcPr>
          <w:p>
            <w:pPr>
              <w:pStyle w:val="19"/>
              <w:rPr>
                <w:rFonts w:ascii="Times New Roman"/>
                <w:sz w:val="24"/>
              </w:rPr>
            </w:pPr>
          </w:p>
        </w:tc>
        <w:tc>
          <w:tcPr>
            <w:tcW w:w="851" w:type="dxa"/>
          </w:tcPr>
          <w:p>
            <w:pPr>
              <w:pStyle w:val="19"/>
              <w:rPr>
                <w:rFonts w:ascii="Times New Roman"/>
                <w:sz w:val="24"/>
              </w:rPr>
            </w:pPr>
          </w:p>
        </w:tc>
        <w:tc>
          <w:tcPr>
            <w:tcW w:w="1225" w:type="dxa"/>
          </w:tcPr>
          <w:p>
            <w:pPr>
              <w:pStyle w:val="19"/>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2021年6月1日以后的相关案例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721306624"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217990144;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h7orWAAAACQEAAA8AAAAAAAAA&#10;AQAgAAAAIgAAAGRycy9kb3ducmV2LnhtbFBLAQIUABQAAAAIAIdO4kAoh0Rp2gEAAJYDAAAOAAAA&#10;AAAAAAEAIAAAACUBAABkcnMvZTJvRG9jLnhtbFBLBQYAAAAABgAGAFkBAABxBQ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ind w:left="0"/>
        <w:rPr>
          <w:rFonts w:ascii="Microsoft JhengHei"/>
          <w:b/>
        </w:rPr>
      </w:pPr>
    </w:p>
    <w:p>
      <w:pPr>
        <w:spacing w:line="276" w:lineRule="auto"/>
        <w:jc w:val="center"/>
        <w:rPr>
          <w:rFonts w:hint="eastAsia" w:ascii="宋体" w:hAnsi="宋体"/>
          <w:sz w:val="24"/>
          <w:szCs w:val="24"/>
        </w:rPr>
      </w:pPr>
      <w:r>
        <w:rPr>
          <w:rFonts w:hint="eastAsia" w:ascii="宋体" w:hAnsi="宋体"/>
          <w:b/>
          <w:bCs/>
          <w:sz w:val="28"/>
          <w:szCs w:val="28"/>
        </w:rPr>
        <w:t>截图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5"/>
        <w:keepNext w:val="0"/>
        <w:keepLines w:val="0"/>
        <w:spacing w:before="0" w:after="0" w:line="360" w:lineRule="auto"/>
        <w:ind w:firstLine="103"/>
        <w:rPr>
          <w:rFonts w:hint="eastAsia" w:ascii="宋体" w:hAnsi="宋体" w:eastAsia="宋体"/>
          <w:b/>
          <w:sz w:val="21"/>
          <w:szCs w:val="21"/>
        </w:rPr>
      </w:pPr>
      <w:bookmarkStart w:id="46" w:name="_Toc457748063"/>
      <w:r>
        <w:rPr>
          <w:rFonts w:hint="eastAsia" w:ascii="宋体" w:hAnsi="宋体" w:eastAsia="宋体"/>
          <w:b/>
          <w:sz w:val="21"/>
          <w:szCs w:val="21"/>
        </w:rPr>
        <w:t>近年信誉情况</w:t>
      </w:r>
      <w:bookmarkEnd w:id="46"/>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7"/>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7"/>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8"/>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0"/>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center"/>
        <w:rPr>
          <w:rFonts w:hint="default" w:eastAsia="宋体"/>
          <w:lang w:val="en-US" w:eastAsia="zh-CN"/>
        </w:rPr>
      </w:pPr>
      <w:r>
        <w:rPr>
          <w:spacing w:val="-1"/>
        </w:rPr>
        <w:t>技术响应文</w:t>
      </w:r>
      <w:r>
        <w:rPr>
          <w:rFonts w:hint="eastAsia"/>
          <w:spacing w:val="-1"/>
          <w:lang w:val="en-US" w:eastAsia="zh-CN"/>
        </w:rPr>
        <w:t>件有关表格形式</w:t>
      </w:r>
    </w:p>
    <w:p>
      <w:pPr>
        <w:spacing w:before="25"/>
        <w:ind w:left="437" w:right="3120" w:firstLine="0"/>
        <w:jc w:val="center"/>
        <w:rPr>
          <w:rFonts w:ascii="Microsoft JhengHei" w:eastAsia="Microsoft JhengHei"/>
          <w:b/>
          <w:spacing w:val="20"/>
          <w:w w:val="95"/>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pStyle w:val="2"/>
      </w:pPr>
    </w:p>
    <w:p>
      <w:pPr>
        <w:spacing w:before="25"/>
        <w:ind w:left="437" w:right="3120" w:firstLine="0"/>
        <w:jc w:val="center"/>
        <w:rPr>
          <w:rFonts w:ascii="Microsoft JhengHei" w:eastAsia="Microsoft JhengHei"/>
          <w:b/>
          <w:spacing w:val="20"/>
          <w:w w:val="95"/>
          <w:sz w:val="24"/>
        </w:rPr>
      </w:pPr>
    </w:p>
    <w:p>
      <w:pPr>
        <w:spacing w:before="25"/>
        <w:ind w:left="437" w:right="3120" w:firstLine="0"/>
        <w:jc w:val="center"/>
        <w:rPr>
          <w:rFonts w:ascii="Microsoft JhengHei" w:eastAsia="Microsoft JhengHei"/>
          <w:b/>
          <w:sz w:val="24"/>
        </w:rPr>
      </w:pPr>
      <w:r>
        <w:rPr>
          <w:rFonts w:ascii="Microsoft JhengHei" w:eastAsia="Microsoft JhengHei"/>
          <w:b/>
          <w:spacing w:val="20"/>
          <w:w w:val="95"/>
          <w:sz w:val="24"/>
        </w:rPr>
        <w:t>1</w:t>
      </w:r>
      <w:r>
        <w:rPr>
          <w:rFonts w:ascii="Microsoft JhengHei" w:eastAsia="Microsoft JhengHei"/>
          <w:b/>
          <w:w w:val="95"/>
          <w:sz w:val="24"/>
        </w:rPr>
        <w:t>、项目负责人情况</w:t>
      </w:r>
      <w:r>
        <w:rPr>
          <w:rFonts w:ascii="Microsoft JhengHei" w:eastAsia="Microsoft JhengHei"/>
          <w:b/>
          <w:spacing w:val="-10"/>
          <w:w w:val="95"/>
          <w:sz w:val="24"/>
        </w:rPr>
        <w:t>表</w:t>
      </w:r>
    </w:p>
    <w:p>
      <w:pPr>
        <w:spacing w:after="0"/>
        <w:jc w:val="center"/>
        <w:rPr>
          <w:rFonts w:ascii="Microsoft JhengHei" w:eastAsia="Microsoft JhengHei"/>
          <w:sz w:val="24"/>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tbl>
      <w:tblPr>
        <w:tblStyle w:val="12"/>
        <w:tblW w:w="9105"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052"/>
        <w:gridCol w:w="1062"/>
        <w:gridCol w:w="1159"/>
        <w:gridCol w:w="1140"/>
        <w:gridCol w:w="1050"/>
        <w:gridCol w:w="1155"/>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before="11"/>
              <w:rPr>
                <w:rFonts w:ascii="Microsoft JhengHei"/>
                <w:b/>
                <w:sz w:val="12"/>
              </w:rPr>
            </w:pPr>
          </w:p>
          <w:p>
            <w:pPr>
              <w:pStyle w:val="19"/>
              <w:spacing w:before="1"/>
              <w:ind w:left="336"/>
              <w:rPr>
                <w:sz w:val="24"/>
              </w:rPr>
            </w:pPr>
            <w:r>
              <w:rPr>
                <w:spacing w:val="-5"/>
                <w:sz w:val="24"/>
              </w:rPr>
              <w:t>姓名</w:t>
            </w:r>
          </w:p>
        </w:tc>
        <w:tc>
          <w:tcPr>
            <w:tcW w:w="1052" w:type="dxa"/>
          </w:tcPr>
          <w:p>
            <w:pPr>
              <w:pStyle w:val="19"/>
              <w:rPr>
                <w:rFonts w:ascii="Times New Roman"/>
                <w:sz w:val="24"/>
              </w:rPr>
            </w:pPr>
          </w:p>
        </w:tc>
        <w:tc>
          <w:tcPr>
            <w:tcW w:w="1062" w:type="dxa"/>
          </w:tcPr>
          <w:p>
            <w:pPr>
              <w:pStyle w:val="19"/>
              <w:spacing w:line="307" w:lineRule="exact"/>
              <w:ind w:left="155" w:right="149"/>
              <w:jc w:val="center"/>
              <w:rPr>
                <w:sz w:val="24"/>
              </w:rPr>
            </w:pPr>
            <w:r>
              <w:rPr>
                <w:spacing w:val="-4"/>
                <w:sz w:val="24"/>
              </w:rPr>
              <w:t>出生年</w:t>
            </w:r>
          </w:p>
          <w:p>
            <w:pPr>
              <w:pStyle w:val="19"/>
              <w:spacing w:before="159"/>
              <w:ind w:left="9"/>
              <w:jc w:val="center"/>
              <w:rPr>
                <w:sz w:val="24"/>
              </w:rPr>
            </w:pPr>
            <w:r>
              <w:rPr>
                <w:sz w:val="24"/>
              </w:rPr>
              <w:t>月</w:t>
            </w:r>
          </w:p>
        </w:tc>
        <w:tc>
          <w:tcPr>
            <w:tcW w:w="1159" w:type="dxa"/>
          </w:tcPr>
          <w:p>
            <w:pPr>
              <w:pStyle w:val="19"/>
              <w:rPr>
                <w:rFonts w:ascii="Times New Roman"/>
                <w:sz w:val="24"/>
              </w:rPr>
            </w:pPr>
          </w:p>
        </w:tc>
        <w:tc>
          <w:tcPr>
            <w:tcW w:w="1140" w:type="dxa"/>
          </w:tcPr>
          <w:p>
            <w:pPr>
              <w:pStyle w:val="19"/>
              <w:spacing w:line="307" w:lineRule="exact"/>
              <w:ind w:left="104"/>
              <w:rPr>
                <w:sz w:val="24"/>
              </w:rPr>
            </w:pPr>
            <w:r>
              <w:rPr>
                <w:spacing w:val="-4"/>
                <w:sz w:val="24"/>
              </w:rPr>
              <w:t>文化程</w:t>
            </w:r>
          </w:p>
          <w:p>
            <w:pPr>
              <w:pStyle w:val="19"/>
              <w:spacing w:before="159"/>
              <w:ind w:left="107"/>
              <w:rPr>
                <w:sz w:val="24"/>
              </w:rPr>
            </w:pPr>
            <w:r>
              <w:rPr>
                <w:sz w:val="24"/>
              </w:rPr>
              <w:t>度</w:t>
            </w:r>
          </w:p>
        </w:tc>
        <w:tc>
          <w:tcPr>
            <w:tcW w:w="1050" w:type="dxa"/>
          </w:tcPr>
          <w:p>
            <w:pPr>
              <w:pStyle w:val="19"/>
              <w:rPr>
                <w:rFonts w:ascii="Times New Roman"/>
                <w:sz w:val="24"/>
              </w:rPr>
            </w:pPr>
          </w:p>
        </w:tc>
        <w:tc>
          <w:tcPr>
            <w:tcW w:w="1155" w:type="dxa"/>
          </w:tcPr>
          <w:p>
            <w:pPr>
              <w:pStyle w:val="19"/>
              <w:spacing w:line="307" w:lineRule="exact"/>
              <w:ind w:left="104"/>
              <w:rPr>
                <w:sz w:val="24"/>
              </w:rPr>
            </w:pPr>
            <w:r>
              <w:rPr>
                <w:spacing w:val="-4"/>
                <w:sz w:val="24"/>
              </w:rPr>
              <w:t>毕业时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1155" w:type="dxa"/>
          </w:tcPr>
          <w:p>
            <w:pPr>
              <w:pStyle w:val="19"/>
              <w:spacing w:before="11"/>
              <w:rPr>
                <w:rFonts w:ascii="Microsoft JhengHei"/>
                <w:b/>
                <w:sz w:val="12"/>
              </w:rPr>
            </w:pPr>
          </w:p>
          <w:p>
            <w:pPr>
              <w:pStyle w:val="19"/>
              <w:spacing w:before="1" w:line="364" w:lineRule="auto"/>
              <w:ind w:left="216" w:right="205" w:hanging="2"/>
              <w:jc w:val="center"/>
              <w:rPr>
                <w:sz w:val="24"/>
              </w:rPr>
            </w:pPr>
            <w:r>
              <w:rPr>
                <w:spacing w:val="-4"/>
                <w:sz w:val="24"/>
              </w:rPr>
              <w:t>毕业院校和专</w:t>
            </w:r>
            <w:r>
              <w:rPr>
                <w:spacing w:val="-10"/>
                <w:sz w:val="24"/>
              </w:rPr>
              <w:t>业</w:t>
            </w:r>
          </w:p>
        </w:tc>
        <w:tc>
          <w:tcPr>
            <w:tcW w:w="2114" w:type="dxa"/>
            <w:gridSpan w:val="2"/>
          </w:tcPr>
          <w:p>
            <w:pPr>
              <w:pStyle w:val="19"/>
              <w:rPr>
                <w:rFonts w:ascii="Times New Roman"/>
                <w:sz w:val="24"/>
              </w:rPr>
            </w:pPr>
          </w:p>
        </w:tc>
        <w:tc>
          <w:tcPr>
            <w:tcW w:w="1159" w:type="dxa"/>
          </w:tcPr>
          <w:p>
            <w:pPr>
              <w:pStyle w:val="19"/>
              <w:spacing w:line="364" w:lineRule="auto"/>
              <w:ind w:left="219" w:right="207" w:hanging="2"/>
              <w:jc w:val="both"/>
              <w:rPr>
                <w:sz w:val="24"/>
              </w:rPr>
            </w:pPr>
            <w:r>
              <w:rPr>
                <w:spacing w:val="-4"/>
                <w:sz w:val="24"/>
              </w:rPr>
              <w:t>从事本类项目工作年</w:t>
            </w:r>
          </w:p>
          <w:p>
            <w:pPr>
              <w:pStyle w:val="19"/>
              <w:spacing w:line="306" w:lineRule="exact"/>
              <w:ind w:left="9"/>
              <w:jc w:val="center"/>
              <w:rPr>
                <w:sz w:val="24"/>
              </w:rPr>
            </w:pPr>
            <w:r>
              <w:rPr>
                <w:sz w:val="24"/>
              </w:rPr>
              <w:t>限</w:t>
            </w:r>
          </w:p>
        </w:tc>
        <w:tc>
          <w:tcPr>
            <w:tcW w:w="2190" w:type="dxa"/>
            <w:gridSpan w:val="2"/>
          </w:tcPr>
          <w:p>
            <w:pPr>
              <w:pStyle w:val="19"/>
              <w:rPr>
                <w:rFonts w:ascii="Times New Roman"/>
                <w:sz w:val="24"/>
              </w:rPr>
            </w:pPr>
          </w:p>
        </w:tc>
        <w:tc>
          <w:tcPr>
            <w:tcW w:w="1155" w:type="dxa"/>
          </w:tcPr>
          <w:p>
            <w:pPr>
              <w:pStyle w:val="19"/>
              <w:spacing w:before="6"/>
              <w:rPr>
                <w:rFonts w:ascii="Microsoft JhengHei"/>
                <w:b/>
                <w:sz w:val="25"/>
              </w:rPr>
            </w:pPr>
          </w:p>
          <w:p>
            <w:pPr>
              <w:pStyle w:val="19"/>
              <w:spacing w:line="364" w:lineRule="auto"/>
              <w:ind w:left="107" w:right="318" w:hanging="3"/>
              <w:rPr>
                <w:sz w:val="24"/>
              </w:rPr>
            </w:pPr>
            <w:r>
              <w:rPr>
                <w:spacing w:val="-4"/>
                <w:sz w:val="24"/>
              </w:rPr>
              <w:t>联系方</w:t>
            </w:r>
            <w:r>
              <w:rPr>
                <w:spacing w:val="-10"/>
                <w:sz w:val="24"/>
              </w:rPr>
              <w:t>式</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19"/>
              <w:spacing w:line="307" w:lineRule="exact"/>
              <w:ind w:left="202" w:right="195"/>
              <w:jc w:val="center"/>
              <w:rPr>
                <w:sz w:val="24"/>
              </w:rPr>
            </w:pPr>
            <w:r>
              <w:rPr>
                <w:spacing w:val="-4"/>
                <w:sz w:val="24"/>
              </w:rPr>
              <w:t>职业资</w:t>
            </w:r>
          </w:p>
          <w:p>
            <w:pPr>
              <w:pStyle w:val="19"/>
              <w:spacing w:before="159"/>
              <w:ind w:left="10"/>
              <w:jc w:val="center"/>
              <w:rPr>
                <w:sz w:val="24"/>
              </w:rPr>
            </w:pPr>
            <w:r>
              <w:rPr>
                <w:sz w:val="24"/>
              </w:rPr>
              <w:t>格</w:t>
            </w:r>
          </w:p>
        </w:tc>
        <w:tc>
          <w:tcPr>
            <w:tcW w:w="2114" w:type="dxa"/>
            <w:gridSpan w:val="2"/>
          </w:tcPr>
          <w:p>
            <w:pPr>
              <w:pStyle w:val="19"/>
              <w:rPr>
                <w:rFonts w:ascii="Times New Roman"/>
                <w:sz w:val="24"/>
              </w:rPr>
            </w:pPr>
          </w:p>
        </w:tc>
        <w:tc>
          <w:tcPr>
            <w:tcW w:w="1159" w:type="dxa"/>
          </w:tcPr>
          <w:p>
            <w:pPr>
              <w:pStyle w:val="19"/>
              <w:spacing w:line="307" w:lineRule="exact"/>
              <w:ind w:left="104"/>
              <w:rPr>
                <w:sz w:val="24"/>
              </w:rPr>
            </w:pPr>
            <w:r>
              <w:rPr>
                <w:spacing w:val="-4"/>
                <w:sz w:val="24"/>
              </w:rPr>
              <w:t>技术职</w:t>
            </w:r>
          </w:p>
          <w:p>
            <w:pPr>
              <w:pStyle w:val="19"/>
              <w:spacing w:before="159"/>
              <w:ind w:left="107"/>
              <w:rPr>
                <w:sz w:val="24"/>
              </w:rPr>
            </w:pPr>
            <w:r>
              <w:rPr>
                <w:sz w:val="24"/>
              </w:rPr>
              <w:t>称</w:t>
            </w:r>
          </w:p>
        </w:tc>
        <w:tc>
          <w:tcPr>
            <w:tcW w:w="2190" w:type="dxa"/>
            <w:gridSpan w:val="2"/>
          </w:tcPr>
          <w:p>
            <w:pPr>
              <w:pStyle w:val="19"/>
              <w:rPr>
                <w:rFonts w:ascii="Times New Roman"/>
                <w:sz w:val="24"/>
              </w:rPr>
            </w:pPr>
          </w:p>
        </w:tc>
        <w:tc>
          <w:tcPr>
            <w:tcW w:w="1155" w:type="dxa"/>
          </w:tcPr>
          <w:p>
            <w:pPr>
              <w:pStyle w:val="19"/>
              <w:spacing w:line="307" w:lineRule="exact"/>
              <w:ind w:left="104"/>
              <w:rPr>
                <w:sz w:val="24"/>
              </w:rPr>
            </w:pPr>
            <w:r>
              <w:rPr>
                <w:spacing w:val="-4"/>
                <w:sz w:val="24"/>
              </w:rPr>
              <w:t>聘任时</w:t>
            </w:r>
          </w:p>
          <w:p>
            <w:pPr>
              <w:pStyle w:val="19"/>
              <w:spacing w:before="159"/>
              <w:ind w:left="107"/>
              <w:rPr>
                <w:sz w:val="24"/>
              </w:rPr>
            </w:pPr>
            <w:r>
              <w:rPr>
                <w:sz w:val="24"/>
              </w:rPr>
              <w:t>间</w:t>
            </w:r>
          </w:p>
        </w:tc>
        <w:tc>
          <w:tcPr>
            <w:tcW w:w="1332"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8" w:hRule="atLeast"/>
        </w:trPr>
        <w:tc>
          <w:tcPr>
            <w:tcW w:w="9105" w:type="dxa"/>
            <w:gridSpan w:val="8"/>
          </w:tcPr>
          <w:p>
            <w:pPr>
              <w:pStyle w:val="19"/>
              <w:spacing w:line="307" w:lineRule="exact"/>
              <w:ind w:left="105"/>
              <w:rPr>
                <w:sz w:val="24"/>
              </w:rPr>
            </w:pPr>
            <w:r>
              <w:rPr>
                <w:spacing w:val="-2"/>
                <w:sz w:val="24"/>
              </w:rPr>
              <w:t>主要工作经历：</w:t>
            </w:r>
          </w:p>
          <w:p>
            <w:pPr>
              <w:pStyle w:val="19"/>
              <w:spacing w:before="1"/>
              <w:rPr>
                <w:rFonts w:ascii="Microsoft JhengHei"/>
                <w:b/>
                <w:sz w:val="34"/>
              </w:rPr>
            </w:pPr>
          </w:p>
          <w:p>
            <w:pPr>
              <w:pStyle w:val="19"/>
              <w:ind w:left="105"/>
              <w:rPr>
                <w:sz w:val="24"/>
              </w:rPr>
            </w:pPr>
            <w:r>
              <w:rPr>
                <w:spacing w:val="-2"/>
                <w:sz w:val="24"/>
              </w:rPr>
              <w:t>主要管理服务项目：</w:t>
            </w:r>
          </w:p>
          <w:p>
            <w:pPr>
              <w:pStyle w:val="19"/>
              <w:spacing w:before="1"/>
              <w:rPr>
                <w:rFonts w:ascii="Microsoft JhengHei"/>
                <w:b/>
                <w:sz w:val="34"/>
              </w:rPr>
            </w:pPr>
          </w:p>
          <w:p>
            <w:pPr>
              <w:pStyle w:val="19"/>
              <w:ind w:left="105"/>
              <w:rPr>
                <w:sz w:val="24"/>
              </w:rPr>
            </w:pPr>
            <w:r>
              <w:rPr>
                <w:spacing w:val="-2"/>
                <w:sz w:val="24"/>
              </w:rPr>
              <w:t>主要工作特点：</w:t>
            </w:r>
          </w:p>
          <w:p>
            <w:pPr>
              <w:pStyle w:val="19"/>
              <w:spacing w:before="1"/>
              <w:rPr>
                <w:rFonts w:ascii="Microsoft JhengHei"/>
                <w:b/>
                <w:sz w:val="34"/>
              </w:rPr>
            </w:pPr>
          </w:p>
          <w:p>
            <w:pPr>
              <w:pStyle w:val="19"/>
              <w:ind w:left="105"/>
              <w:rPr>
                <w:sz w:val="24"/>
              </w:rPr>
            </w:pPr>
            <w:r>
              <w:rPr>
                <w:spacing w:val="-2"/>
                <w:sz w:val="24"/>
              </w:rPr>
              <w:t>主要工作业绩：</w:t>
            </w:r>
          </w:p>
          <w:p>
            <w:pPr>
              <w:pStyle w:val="19"/>
              <w:spacing w:before="1"/>
              <w:rPr>
                <w:rFonts w:ascii="Microsoft JhengHei"/>
                <w:b/>
                <w:sz w:val="34"/>
              </w:rPr>
            </w:pPr>
          </w:p>
          <w:p>
            <w:pPr>
              <w:pStyle w:val="19"/>
              <w:ind w:left="105"/>
              <w:rPr>
                <w:sz w:val="24"/>
              </w:rPr>
            </w:pPr>
            <w:r>
              <w:rPr>
                <w:spacing w:val="-1"/>
                <w:sz w:val="24"/>
              </w:rPr>
              <w:t>胜任本项目负责人的理由：</w:t>
            </w:r>
          </w:p>
        </w:tc>
      </w:tr>
    </w:tbl>
    <w:p>
      <w:pPr>
        <w:pStyle w:val="2"/>
        <w:spacing w:before="16"/>
        <w:ind w:left="0"/>
        <w:rPr>
          <w:rFonts w:ascii="Microsoft JhengHei"/>
          <w:b/>
          <w:sz w:val="21"/>
        </w:rPr>
      </w:pPr>
    </w:p>
    <w:p>
      <w:pPr>
        <w:pStyle w:val="2"/>
        <w:tabs>
          <w:tab w:val="left" w:pos="5847"/>
        </w:tabs>
        <w:spacing w:before="66" w:line="364" w:lineRule="auto"/>
        <w:ind w:right="3778"/>
      </w:pPr>
      <w:r>
        <mc:AlternateContent>
          <mc:Choice Requires="wps">
            <w:drawing>
              <wp:anchor distT="0" distB="0" distL="114300" distR="114300" simplePos="0" relativeHeight="956131328" behindDoc="1" locked="0" layoutInCell="1" allowOverlap="1">
                <wp:simplePos x="0" y="0"/>
                <wp:positionH relativeFrom="page">
                  <wp:posOffset>2149475</wp:posOffset>
                </wp:positionH>
                <wp:positionV relativeFrom="paragraph">
                  <wp:posOffset>516255</wp:posOffset>
                </wp:positionV>
                <wp:extent cx="23069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0.65pt;height:0pt;width:181.65pt;mso-position-horizontal-relative:page;z-index:452814848;mso-width-relative:page;mso-height-relative:page;" filled="f" stroked="t" coordsize="21600,21600" o:gfxdata="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zcp1gAAAAkBAAAPAAAAAAAA&#10;AAEAIAAAACIAAABkcnMvZG93bnJldi54bWxQSwECFAAUAAAACACHTuJAGzro3t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pStyle w:val="3"/>
        <w:spacing w:line="413" w:lineRule="exact"/>
        <w:ind w:right="338"/>
        <w:jc w:val="center"/>
      </w:pPr>
      <w:r>
        <w:rPr>
          <w:w w:val="95"/>
        </w:rPr>
        <w:t>2、主要管理、技术人员配备及相关工作经历、职业资格汇总</w:t>
      </w:r>
      <w:r>
        <w:rPr>
          <w:spacing w:val="-10"/>
          <w:w w:val="95"/>
        </w:rPr>
        <w:t>表</w:t>
      </w:r>
    </w:p>
    <w:p>
      <w:pPr>
        <w:pStyle w:val="2"/>
        <w:spacing w:before="104" w:line="364" w:lineRule="auto"/>
        <w:ind w:right="7978"/>
        <w:jc w:val="both"/>
      </w:pPr>
      <w:r>
        <w:rPr>
          <w:spacing w:val="-2"/>
        </w:rPr>
        <w:t>项目名称：项目编号：</w:t>
      </w:r>
      <w:r>
        <w:rPr>
          <w:spacing w:val="-4"/>
        </w:rPr>
        <w:t>包号：</w:t>
      </w:r>
    </w:p>
    <w:tbl>
      <w:tblPr>
        <w:tblStyle w:val="12"/>
        <w:tblW w:w="8748"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750"/>
        <w:gridCol w:w="1080"/>
        <w:gridCol w:w="1080"/>
        <w:gridCol w:w="1080"/>
        <w:gridCol w:w="108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158" w:type="dxa"/>
          </w:tcPr>
          <w:p>
            <w:pPr>
              <w:pStyle w:val="19"/>
              <w:spacing w:line="364" w:lineRule="auto"/>
              <w:ind w:left="219" w:right="208"/>
              <w:jc w:val="center"/>
              <w:rPr>
                <w:sz w:val="24"/>
              </w:rPr>
            </w:pPr>
            <w:r>
              <w:rPr>
                <w:spacing w:val="-4"/>
                <w:sz w:val="24"/>
              </w:rPr>
              <w:t>项目组成员姓</w:t>
            </w:r>
          </w:p>
          <w:p>
            <w:pPr>
              <w:pStyle w:val="19"/>
              <w:spacing w:line="306" w:lineRule="exact"/>
              <w:ind w:left="9"/>
              <w:jc w:val="center"/>
              <w:rPr>
                <w:sz w:val="24"/>
              </w:rPr>
            </w:pPr>
            <w:r>
              <w:rPr>
                <w:sz w:val="24"/>
              </w:rPr>
              <w:t>名</w:t>
            </w:r>
          </w:p>
        </w:tc>
        <w:tc>
          <w:tcPr>
            <w:tcW w:w="750" w:type="dxa"/>
          </w:tcPr>
          <w:p>
            <w:pPr>
              <w:pStyle w:val="19"/>
              <w:rPr>
                <w:sz w:val="24"/>
              </w:rPr>
            </w:pPr>
          </w:p>
          <w:p>
            <w:pPr>
              <w:pStyle w:val="19"/>
              <w:spacing w:before="158"/>
              <w:ind w:left="135"/>
              <w:rPr>
                <w:sz w:val="24"/>
              </w:rPr>
            </w:pPr>
            <w:r>
              <w:rPr>
                <w:spacing w:val="-5"/>
                <w:sz w:val="24"/>
              </w:rPr>
              <w:t>年龄</w:t>
            </w:r>
          </w:p>
        </w:tc>
        <w:tc>
          <w:tcPr>
            <w:tcW w:w="1080" w:type="dxa"/>
          </w:tcPr>
          <w:p>
            <w:pPr>
              <w:pStyle w:val="19"/>
              <w:spacing w:line="364" w:lineRule="auto"/>
              <w:ind w:left="180" w:right="169"/>
              <w:jc w:val="center"/>
              <w:rPr>
                <w:sz w:val="24"/>
              </w:rPr>
            </w:pPr>
            <w:r>
              <w:rPr>
                <w:spacing w:val="-4"/>
                <w:sz w:val="24"/>
              </w:rPr>
              <w:t>在项目组中的</w:t>
            </w:r>
          </w:p>
          <w:p>
            <w:pPr>
              <w:pStyle w:val="19"/>
              <w:spacing w:line="306" w:lineRule="exact"/>
              <w:ind w:left="179" w:right="169"/>
              <w:jc w:val="center"/>
              <w:rPr>
                <w:sz w:val="24"/>
              </w:rPr>
            </w:pPr>
            <w:r>
              <w:rPr>
                <w:spacing w:val="-5"/>
                <w:sz w:val="24"/>
              </w:rPr>
              <w:t>岗位</w:t>
            </w:r>
          </w:p>
        </w:tc>
        <w:tc>
          <w:tcPr>
            <w:tcW w:w="1080" w:type="dxa"/>
          </w:tcPr>
          <w:p>
            <w:pPr>
              <w:pStyle w:val="19"/>
              <w:spacing w:line="364" w:lineRule="auto"/>
              <w:ind w:left="179" w:right="168"/>
              <w:jc w:val="center"/>
              <w:rPr>
                <w:sz w:val="24"/>
              </w:rPr>
            </w:pPr>
            <w:r>
              <w:rPr>
                <w:spacing w:val="-4"/>
                <w:sz w:val="24"/>
              </w:rPr>
              <w:t>学历和毕业时</w:t>
            </w:r>
          </w:p>
          <w:p>
            <w:pPr>
              <w:pStyle w:val="19"/>
              <w:spacing w:line="306" w:lineRule="exact"/>
              <w:ind w:left="9"/>
              <w:jc w:val="center"/>
              <w:rPr>
                <w:sz w:val="24"/>
              </w:rPr>
            </w:pPr>
            <w:r>
              <w:rPr>
                <w:sz w:val="24"/>
              </w:rPr>
              <w:t>间</w:t>
            </w:r>
          </w:p>
        </w:tc>
        <w:tc>
          <w:tcPr>
            <w:tcW w:w="1080" w:type="dxa"/>
          </w:tcPr>
          <w:p>
            <w:pPr>
              <w:pStyle w:val="19"/>
              <w:spacing w:line="364" w:lineRule="auto"/>
              <w:ind w:left="179" w:right="168"/>
              <w:jc w:val="center"/>
              <w:rPr>
                <w:sz w:val="24"/>
              </w:rPr>
            </w:pPr>
            <w:r>
              <w:rPr>
                <w:spacing w:val="-4"/>
                <w:sz w:val="24"/>
              </w:rPr>
              <w:t>职称及职业资</w:t>
            </w:r>
          </w:p>
          <w:p>
            <w:pPr>
              <w:pStyle w:val="19"/>
              <w:spacing w:line="306" w:lineRule="exact"/>
              <w:ind w:left="9"/>
              <w:jc w:val="center"/>
              <w:rPr>
                <w:sz w:val="24"/>
              </w:rPr>
            </w:pPr>
            <w:r>
              <w:rPr>
                <w:sz w:val="24"/>
              </w:rPr>
              <w:t>格</w:t>
            </w:r>
          </w:p>
        </w:tc>
        <w:tc>
          <w:tcPr>
            <w:tcW w:w="1080" w:type="dxa"/>
          </w:tcPr>
          <w:p>
            <w:pPr>
              <w:pStyle w:val="19"/>
              <w:spacing w:line="364" w:lineRule="auto"/>
              <w:ind w:left="179" w:right="168"/>
              <w:jc w:val="center"/>
              <w:rPr>
                <w:sz w:val="24"/>
              </w:rPr>
            </w:pPr>
            <w:r>
              <w:rPr>
                <w:spacing w:val="-4"/>
                <w:sz w:val="24"/>
              </w:rPr>
              <w:t>进入本单位时</w:t>
            </w:r>
          </w:p>
          <w:p>
            <w:pPr>
              <w:pStyle w:val="19"/>
              <w:spacing w:line="306" w:lineRule="exact"/>
              <w:ind w:left="9"/>
              <w:jc w:val="center"/>
              <w:rPr>
                <w:sz w:val="24"/>
              </w:rPr>
            </w:pPr>
            <w:r>
              <w:rPr>
                <w:sz w:val="24"/>
              </w:rPr>
              <w:t>间</w:t>
            </w:r>
          </w:p>
        </w:tc>
        <w:tc>
          <w:tcPr>
            <w:tcW w:w="1440" w:type="dxa"/>
          </w:tcPr>
          <w:p>
            <w:pPr>
              <w:pStyle w:val="19"/>
              <w:spacing w:before="1"/>
              <w:rPr>
                <w:sz w:val="18"/>
              </w:rPr>
            </w:pPr>
          </w:p>
          <w:p>
            <w:pPr>
              <w:pStyle w:val="19"/>
              <w:spacing w:before="1" w:line="364" w:lineRule="auto"/>
              <w:ind w:left="599" w:right="108" w:hanging="480"/>
              <w:rPr>
                <w:sz w:val="24"/>
              </w:rPr>
            </w:pPr>
            <w:r>
              <w:rPr>
                <w:spacing w:val="-2"/>
                <w:sz w:val="24"/>
              </w:rPr>
              <w:t>相关工作经</w:t>
            </w:r>
            <w:r>
              <w:rPr>
                <w:spacing w:val="-10"/>
                <w:sz w:val="24"/>
              </w:rPr>
              <w:t>历</w:t>
            </w:r>
          </w:p>
        </w:tc>
        <w:tc>
          <w:tcPr>
            <w:tcW w:w="1080" w:type="dxa"/>
          </w:tcPr>
          <w:p>
            <w:pPr>
              <w:pStyle w:val="19"/>
              <w:spacing w:before="1"/>
              <w:rPr>
                <w:sz w:val="18"/>
              </w:rPr>
            </w:pPr>
          </w:p>
          <w:p>
            <w:pPr>
              <w:pStyle w:val="19"/>
              <w:spacing w:before="1" w:line="364" w:lineRule="auto"/>
              <w:ind w:left="419" w:right="168" w:hanging="240"/>
              <w:rPr>
                <w:sz w:val="24"/>
              </w:rPr>
            </w:pPr>
            <w:r>
              <w:rPr>
                <w:spacing w:val="-4"/>
                <w:sz w:val="24"/>
              </w:rPr>
              <w:t>联系方</w:t>
            </w:r>
            <w:r>
              <w:rPr>
                <w:spacing w:val="-10"/>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rPr>
                <w:rFonts w:ascii="Times New Roman"/>
                <w:sz w:val="24"/>
              </w:rPr>
            </w:pP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19"/>
              <w:spacing w:before="33"/>
              <w:ind w:left="108"/>
              <w:rPr>
                <w:sz w:val="24"/>
              </w:rPr>
            </w:pPr>
            <w:r>
              <w:rPr>
                <w:spacing w:val="-5"/>
                <w:sz w:val="24"/>
              </w:rPr>
              <w:t>……</w:t>
            </w:r>
          </w:p>
        </w:tc>
        <w:tc>
          <w:tcPr>
            <w:tcW w:w="75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080" w:type="dxa"/>
          </w:tcPr>
          <w:p>
            <w:pPr>
              <w:pStyle w:val="19"/>
              <w:rPr>
                <w:rFonts w:ascii="Times New Roman"/>
                <w:sz w:val="24"/>
              </w:rPr>
            </w:pPr>
          </w:p>
        </w:tc>
        <w:tc>
          <w:tcPr>
            <w:tcW w:w="1440" w:type="dxa"/>
          </w:tcPr>
          <w:p>
            <w:pPr>
              <w:pStyle w:val="19"/>
              <w:rPr>
                <w:rFonts w:ascii="Times New Roman"/>
                <w:sz w:val="24"/>
              </w:rPr>
            </w:pPr>
          </w:p>
        </w:tc>
        <w:tc>
          <w:tcPr>
            <w:tcW w:w="1080" w:type="dxa"/>
          </w:tcPr>
          <w:p>
            <w:pPr>
              <w:pStyle w:val="19"/>
              <w:rPr>
                <w:rFonts w:ascii="Times New Roman"/>
                <w:sz w:val="24"/>
              </w:rPr>
            </w:pPr>
          </w:p>
        </w:tc>
      </w:tr>
    </w:tbl>
    <w:p>
      <w:pPr>
        <w:pStyle w:val="2"/>
        <w:ind w:left="0"/>
      </w:pPr>
    </w:p>
    <w:p>
      <w:pPr>
        <w:pStyle w:val="2"/>
        <w:tabs>
          <w:tab w:val="left" w:pos="5847"/>
        </w:tabs>
        <w:spacing w:before="162" w:line="364" w:lineRule="auto"/>
        <w:ind w:right="3778"/>
      </w:pPr>
      <w:r>
        <mc:AlternateContent>
          <mc:Choice Requires="wps">
            <w:drawing>
              <wp:anchor distT="0" distB="0" distL="114300" distR="114300" simplePos="0" relativeHeight="956132352" behindDoc="1" locked="0" layoutInCell="1" allowOverlap="1">
                <wp:simplePos x="0" y="0"/>
                <wp:positionH relativeFrom="page">
                  <wp:posOffset>2149475</wp:posOffset>
                </wp:positionH>
                <wp:positionV relativeFrom="paragraph">
                  <wp:posOffset>577215</wp:posOffset>
                </wp:positionV>
                <wp:extent cx="23069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45pt;height:0pt;width:181.65pt;mso-position-horizontal-relative:page;z-index:452815872;mso-width-relative:page;mso-height-relative:page;" filled="f" stroked="t" coordsize="21600,21600" o:gfxdata="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WNci1gAAAAkBAAAPAAAAAAAA&#10;AAEAIAAAACIAAABkcnMvZG93bnJldi54bWxQSwECFAAUAAAACACHTuJAClGMs9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spacing w:before="7"/>
        <w:ind w:left="0"/>
        <w:jc w:val="center"/>
        <w:rPr>
          <w:rFonts w:hint="eastAsia"/>
          <w:sz w:val="28"/>
          <w:szCs w:val="28"/>
          <w:lang w:val="en-US" w:eastAsia="zh-CN"/>
        </w:rPr>
      </w:pPr>
      <w:r>
        <w:rPr>
          <w:rFonts w:hint="eastAsia"/>
          <w:sz w:val="28"/>
          <w:szCs w:val="28"/>
          <w:lang w:val="en-US" w:eastAsia="zh-CN"/>
        </w:rPr>
        <w:t>服务方案（格式可自拟）</w:t>
      </w: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4">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5">
    <w:nsid w:val="0000000A"/>
    <w:multiLevelType w:val="singleLevel"/>
    <w:tmpl w:val="0000000A"/>
    <w:lvl w:ilvl="0" w:tentative="0">
      <w:start w:val="1"/>
      <w:numFmt w:val="decimal"/>
      <w:lvlText w:val="（%1)"/>
      <w:lvlJc w:val="left"/>
      <w:pPr>
        <w:tabs>
          <w:tab w:val="left" w:pos="502"/>
        </w:tabs>
        <w:ind w:left="425" w:hanging="425"/>
      </w:pPr>
      <w:rPr>
        <w:rFonts w:hint="default"/>
      </w:rPr>
    </w:lvl>
  </w:abstractNum>
  <w:abstractNum w:abstractNumId="6">
    <w:nsid w:val="4C1BAE26"/>
    <w:multiLevelType w:val="multilevel"/>
    <w:tmpl w:val="4C1BAE26"/>
    <w:lvl w:ilvl="0" w:tentative="0">
      <w:start w:val="1"/>
      <w:numFmt w:val="decimal"/>
      <w:lvlText w:val="（%1）"/>
      <w:lvlJc w:val="left"/>
      <w:pPr>
        <w:ind w:left="1529" w:hanging="601"/>
      </w:pPr>
      <w:rPr>
        <w:rFonts w:hint="default" w:ascii="宋体" w:hAnsi="宋体" w:eastAsia="宋体" w:cs="宋体"/>
        <w:b w:val="0"/>
        <w:bCs w:val="0"/>
        <w:i w:val="0"/>
        <w:iCs w:val="0"/>
        <w:w w:val="100"/>
        <w:sz w:val="22"/>
        <w:szCs w:val="22"/>
        <w:lang w:val="en-US" w:eastAsia="en-US" w:bidi="ar-SA"/>
      </w:rPr>
    </w:lvl>
    <w:lvl w:ilvl="1" w:tentative="0">
      <w:start w:val="0"/>
      <w:numFmt w:val="bullet"/>
      <w:lvlText w:val="•"/>
      <w:lvlJc w:val="left"/>
      <w:pPr>
        <w:ind w:left="2330" w:hanging="601"/>
      </w:pPr>
      <w:rPr>
        <w:rFonts w:hint="default"/>
        <w:lang w:val="en-US" w:eastAsia="en-US" w:bidi="ar-SA"/>
      </w:rPr>
    </w:lvl>
    <w:lvl w:ilvl="2" w:tentative="0">
      <w:start w:val="0"/>
      <w:numFmt w:val="bullet"/>
      <w:lvlText w:val="•"/>
      <w:lvlJc w:val="left"/>
      <w:pPr>
        <w:ind w:left="3141" w:hanging="601"/>
      </w:pPr>
      <w:rPr>
        <w:rFonts w:hint="default"/>
        <w:lang w:val="en-US" w:eastAsia="en-US" w:bidi="ar-SA"/>
      </w:rPr>
    </w:lvl>
    <w:lvl w:ilvl="3" w:tentative="0">
      <w:start w:val="0"/>
      <w:numFmt w:val="bullet"/>
      <w:lvlText w:val="•"/>
      <w:lvlJc w:val="left"/>
      <w:pPr>
        <w:ind w:left="3952" w:hanging="601"/>
      </w:pPr>
      <w:rPr>
        <w:rFonts w:hint="default"/>
        <w:lang w:val="en-US" w:eastAsia="en-US" w:bidi="ar-SA"/>
      </w:rPr>
    </w:lvl>
    <w:lvl w:ilvl="4" w:tentative="0">
      <w:start w:val="0"/>
      <w:numFmt w:val="bullet"/>
      <w:lvlText w:val="•"/>
      <w:lvlJc w:val="left"/>
      <w:pPr>
        <w:ind w:left="4762" w:hanging="601"/>
      </w:pPr>
      <w:rPr>
        <w:rFonts w:hint="default"/>
        <w:lang w:val="en-US" w:eastAsia="en-US" w:bidi="ar-SA"/>
      </w:rPr>
    </w:lvl>
    <w:lvl w:ilvl="5" w:tentative="0">
      <w:start w:val="0"/>
      <w:numFmt w:val="bullet"/>
      <w:lvlText w:val="•"/>
      <w:lvlJc w:val="left"/>
      <w:pPr>
        <w:ind w:left="5573" w:hanging="601"/>
      </w:pPr>
      <w:rPr>
        <w:rFonts w:hint="default"/>
        <w:lang w:val="en-US" w:eastAsia="en-US" w:bidi="ar-SA"/>
      </w:rPr>
    </w:lvl>
    <w:lvl w:ilvl="6" w:tentative="0">
      <w:start w:val="0"/>
      <w:numFmt w:val="bullet"/>
      <w:lvlText w:val="•"/>
      <w:lvlJc w:val="left"/>
      <w:pPr>
        <w:ind w:left="6384" w:hanging="601"/>
      </w:pPr>
      <w:rPr>
        <w:rFonts w:hint="default"/>
        <w:lang w:val="en-US" w:eastAsia="en-US" w:bidi="ar-SA"/>
      </w:rPr>
    </w:lvl>
    <w:lvl w:ilvl="7" w:tentative="0">
      <w:start w:val="0"/>
      <w:numFmt w:val="bullet"/>
      <w:lvlText w:val="•"/>
      <w:lvlJc w:val="left"/>
      <w:pPr>
        <w:ind w:left="7194" w:hanging="601"/>
      </w:pPr>
      <w:rPr>
        <w:rFonts w:hint="default"/>
        <w:lang w:val="en-US" w:eastAsia="en-US" w:bidi="ar-SA"/>
      </w:rPr>
    </w:lvl>
    <w:lvl w:ilvl="8" w:tentative="0">
      <w:start w:val="0"/>
      <w:numFmt w:val="bullet"/>
      <w:lvlText w:val="•"/>
      <w:lvlJc w:val="left"/>
      <w:pPr>
        <w:ind w:left="8005" w:hanging="601"/>
      </w:pPr>
      <w:rPr>
        <w:rFonts w:hint="default"/>
        <w:lang w:val="en-US" w:eastAsia="en-US" w:bidi="ar-SA"/>
      </w:rPr>
    </w:lvl>
  </w:abstractNum>
  <w:abstractNum w:abstractNumId="7">
    <w:nsid w:val="7331A70C"/>
    <w:multiLevelType w:val="singleLevel"/>
    <w:tmpl w:val="7331A70C"/>
    <w:lvl w:ilvl="0" w:tentative="0">
      <w:start w:val="3"/>
      <w:numFmt w:val="chineseCounting"/>
      <w:suff w:val="space"/>
      <w:lvlText w:val="第%1章"/>
      <w:lvlJc w:val="left"/>
      <w:rPr>
        <w:rFonts w:hint="eastAsia"/>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9948D9"/>
    <w:rsid w:val="065C1ED3"/>
    <w:rsid w:val="0BA277EF"/>
    <w:rsid w:val="0F3147C2"/>
    <w:rsid w:val="12B61F64"/>
    <w:rsid w:val="12F87053"/>
    <w:rsid w:val="14430CB7"/>
    <w:rsid w:val="1B563C0E"/>
    <w:rsid w:val="27F24C01"/>
    <w:rsid w:val="2B007BD5"/>
    <w:rsid w:val="30F770A7"/>
    <w:rsid w:val="32D0136D"/>
    <w:rsid w:val="35AC2735"/>
    <w:rsid w:val="36265847"/>
    <w:rsid w:val="3ABF0A80"/>
    <w:rsid w:val="3D27038E"/>
    <w:rsid w:val="4196256B"/>
    <w:rsid w:val="41D6401C"/>
    <w:rsid w:val="47DF0F10"/>
    <w:rsid w:val="483913DA"/>
    <w:rsid w:val="4D6B5EE5"/>
    <w:rsid w:val="59CB4576"/>
    <w:rsid w:val="5F6230B7"/>
    <w:rsid w:val="61321861"/>
    <w:rsid w:val="6ABF0228"/>
    <w:rsid w:val="717668E5"/>
    <w:rsid w:val="768544B0"/>
    <w:rsid w:val="7DB15B42"/>
    <w:rsid w:val="7F645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4">
    <w:name w:val="Default Paragraph Font"/>
    <w:semiHidden/>
    <w:unhideWhenUsed/>
    <w:qFormat/>
    <w:uiPriority w:val="1"/>
  </w:style>
  <w:style w:type="table" w:default="1" w:styleId="12">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6">
    <w:name w:val="Body Text 3"/>
    <w:basedOn w:val="1"/>
    <w:qFormat/>
    <w:uiPriority w:val="0"/>
    <w:rPr>
      <w:rFonts w:ascii="宋体" w:hAnsi="Calibri" w:eastAsia="宋体" w:cs="Times New Roman"/>
      <w:sz w:val="24"/>
      <w:szCs w:val="20"/>
    </w:rPr>
  </w:style>
  <w:style w:type="paragraph" w:styleId="7">
    <w:name w:val="Plain Text"/>
    <w:basedOn w:val="1"/>
    <w:qFormat/>
    <w:uiPriority w:val="0"/>
    <w:rPr>
      <w:rFonts w:ascii="宋体"/>
    </w:rPr>
  </w:style>
  <w:style w:type="paragraph" w:styleId="8">
    <w:name w:val="footer"/>
    <w:basedOn w:val="1"/>
    <w:next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rPr>
      <w:rFonts w:ascii="Calibri" w:hAnsi="Calibri" w:eastAsia="宋体" w:cs="Times New Roman"/>
    </w:rPr>
  </w:style>
  <w:style w:type="paragraph" w:styleId="11">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3">
    <w:name w:val="Table Grid"/>
    <w:basedOn w:val="12"/>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5">
    <w:name w:val="Hyperlink"/>
    <w:qFormat/>
    <w:uiPriority w:val="0"/>
    <w:rPr>
      <w:rFonts w:ascii="Calibri" w:hAnsi="Calibri" w:eastAsia="宋体" w:cs="Times New Roman"/>
      <w:color w:val="0000FF"/>
      <w:u w:val="single"/>
    </w:rPr>
  </w:style>
  <w:style w:type="character" w:styleId="16">
    <w:name w:val="annotation reference"/>
    <w:qFormat/>
    <w:uiPriority w:val="0"/>
    <w:rPr>
      <w:rFonts w:ascii="Calibri" w:hAnsi="Calibri" w:eastAsia="宋体" w:cs="Times New Roman"/>
      <w:sz w:val="21"/>
    </w:rPr>
  </w:style>
  <w:style w:type="table" w:customStyle="1" w:styleId="17">
    <w:name w:val="Table Normal"/>
    <w:semiHidden/>
    <w:unhideWhenUsed/>
    <w:qFormat/>
    <w:uiPriority w:val="2"/>
    <w:tblPr>
      <w:tblLayout w:type="fixed"/>
      <w:tblCellMar>
        <w:top w:w="0" w:type="dxa"/>
        <w:left w:w="0" w:type="dxa"/>
        <w:bottom w:w="0" w:type="dxa"/>
        <w:right w:w="0" w:type="dxa"/>
      </w:tblCellMar>
    </w:tblPr>
  </w:style>
  <w:style w:type="paragraph" w:styleId="18">
    <w:name w:val="List Paragraph"/>
    <w:basedOn w:val="1"/>
    <w:qFormat/>
    <w:uiPriority w:val="1"/>
    <w:pPr>
      <w:ind w:left="448" w:firstLine="480"/>
    </w:pPr>
    <w:rPr>
      <w:rFonts w:ascii="宋体" w:hAnsi="宋体" w:eastAsia="宋体" w:cs="宋体"/>
      <w:lang w:val="en-US" w:eastAsia="en-US" w:bidi="ar-SA"/>
    </w:rPr>
  </w:style>
  <w:style w:type="paragraph" w:customStyle="1" w:styleId="19">
    <w:name w:val="Table Paragraph"/>
    <w:basedOn w:val="1"/>
    <w:qFormat/>
    <w:uiPriority w:val="1"/>
    <w:rPr>
      <w:rFonts w:ascii="宋体" w:hAnsi="宋体" w:eastAsia="宋体" w:cs="宋体"/>
      <w:lang w:val="en-US" w:eastAsia="en-US" w:bidi="ar-SA"/>
    </w:rPr>
  </w:style>
  <w:style w:type="paragraph" w:customStyle="1" w:styleId="20">
    <w:name w:val="1"/>
    <w:basedOn w:val="1"/>
    <w:next w:val="7"/>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2024-08-19T06:39:21Z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