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hint="eastAsia" w:ascii="宋体" w:hAnsi="宋体" w:eastAsia="宋体" w:cs="Times New Roman"/>
          <w:b/>
          <w:sz w:val="52"/>
          <w:szCs w:val="52"/>
          <w:highlight w:val="none"/>
          <w:lang w:val="en-US" w:eastAsia="zh-CN"/>
        </w:rPr>
      </w:pPr>
      <w:r>
        <w:rPr>
          <w:rFonts w:hint="eastAsia" w:ascii="宋体" w:hAnsi="宋体" w:eastAsia="宋体" w:cs="Times New Roman"/>
          <w:b/>
          <w:sz w:val="52"/>
          <w:szCs w:val="52"/>
          <w:highlight w:val="none"/>
          <w:lang w:val="en-US" w:eastAsia="zh-CN"/>
        </w:rPr>
        <w:t>白血病免疫分型检测等试剂项目</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4</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10</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10</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rPr>
        <w:t>0</w:t>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12</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_Toc11326096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6</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7</w:t>
      </w:r>
      <w:r>
        <w:rPr>
          <w:rFonts w:hint="eastAsia" w:ascii="Times New Roman" w:hAnsi="Times New Roman" w:eastAsia="华文仿宋" w:cs="Times New Roman"/>
          <w:b/>
          <w:sz w:val="24"/>
          <w:szCs w:val="36"/>
        </w:rPr>
        <w:fldChar w:fldCharType="end"/>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6"/>
      <w:bookmarkStart w:id="3" w:name="OLE_LINK11"/>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05"/>
      <w:bookmarkStart w:id="5"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名称：</w:t>
      </w:r>
      <w:bookmarkEnd w:id="4"/>
      <w:bookmarkEnd w:id="5"/>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包件一：白血病免疫分型检测</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包件二：淋巴细胞亚群绝对数检测</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包件三：调节性T细胞检测</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包件四：T淋巴细胞和NK细胞精细分型</w:t>
      </w:r>
    </w:p>
    <w:p>
      <w:pPr>
        <w:autoSpaceDE w:val="0"/>
        <w:autoSpaceDN w:val="0"/>
        <w:spacing w:line="360" w:lineRule="auto"/>
        <w:ind w:left="360" w:firstLine="1020" w:firstLineChars="425"/>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包件五：MDSC髓系抑制细胞检测</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供应商可响应1个或多个包件</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服务期限：合同签订后2年</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rPr>
        <w:t>技术要求：见</w:t>
      </w:r>
      <w:r>
        <w:rPr>
          <w:rFonts w:hint="eastAsia" w:ascii="宋体" w:hAnsi="宋体" w:eastAsia="宋体" w:cs="宋体"/>
          <w:kern w:val="0"/>
          <w:sz w:val="24"/>
          <w:szCs w:val="24"/>
          <w:highlight w:val="none"/>
        </w:rPr>
        <w:t>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12"/>
      <w:bookmarkStart w:id="7"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14</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7"/>
          <w:rFonts w:ascii="Times New Roman" w:hAnsi="Times New Roman" w:eastAsia="宋体"/>
          <w:sz w:val="24"/>
          <w:szCs w:val="24"/>
          <w:highlight w:val="none"/>
        </w:rPr>
        <w:t>https</w:t>
      </w:r>
      <w:r>
        <w:rPr>
          <w:rStyle w:val="37"/>
          <w:rFonts w:ascii="宋体" w:hAnsi="宋体" w:eastAsia="宋体"/>
          <w:sz w:val="24"/>
          <w:szCs w:val="24"/>
          <w:highlight w:val="none"/>
        </w:rPr>
        <w:t>://</w:t>
      </w:r>
      <w:r>
        <w:rPr>
          <w:rStyle w:val="37"/>
          <w:rFonts w:ascii="Times New Roman" w:hAnsi="Times New Roman" w:eastAsia="宋体"/>
          <w:sz w:val="24"/>
          <w:szCs w:val="24"/>
          <w:highlight w:val="none"/>
        </w:rPr>
        <w:t>www</w:t>
      </w:r>
      <w:r>
        <w:rPr>
          <w:rStyle w:val="37"/>
          <w:rFonts w:ascii="宋体" w:hAnsi="宋体" w:eastAsia="宋体"/>
          <w:sz w:val="24"/>
          <w:szCs w:val="24"/>
          <w:highlight w:val="none"/>
        </w:rPr>
        <w:t>.</w:t>
      </w:r>
      <w:r>
        <w:rPr>
          <w:rStyle w:val="37"/>
          <w:rFonts w:ascii="Times New Roman" w:hAnsi="Times New Roman" w:eastAsia="宋体"/>
          <w:sz w:val="24"/>
          <w:szCs w:val="24"/>
          <w:highlight w:val="none"/>
        </w:rPr>
        <w:t>szy</w:t>
      </w:r>
      <w:r>
        <w:rPr>
          <w:rStyle w:val="37"/>
          <w:rFonts w:ascii="宋体" w:hAnsi="宋体" w:eastAsia="宋体"/>
          <w:sz w:val="24"/>
          <w:szCs w:val="24"/>
          <w:highlight w:val="none"/>
        </w:rPr>
        <w:t>.</w:t>
      </w:r>
      <w:r>
        <w:rPr>
          <w:rStyle w:val="37"/>
          <w:rFonts w:ascii="Times New Roman" w:hAnsi="Times New Roman" w:eastAsia="宋体"/>
          <w:sz w:val="24"/>
          <w:szCs w:val="24"/>
          <w:highlight w:val="none"/>
        </w:rPr>
        <w:t>sh</w:t>
      </w:r>
      <w:r>
        <w:rPr>
          <w:rStyle w:val="37"/>
          <w:rFonts w:ascii="宋体" w:hAnsi="宋体" w:eastAsia="宋体"/>
          <w:sz w:val="24"/>
          <w:szCs w:val="24"/>
          <w:highlight w:val="none"/>
        </w:rPr>
        <w:t>.</w:t>
      </w:r>
      <w:r>
        <w:rPr>
          <w:rStyle w:val="37"/>
          <w:rFonts w:ascii="Times New Roman" w:hAnsi="Times New Roman" w:eastAsia="宋体"/>
          <w:sz w:val="24"/>
          <w:szCs w:val="24"/>
          <w:highlight w:val="none"/>
        </w:rPr>
        <w:t>cn</w:t>
      </w:r>
      <w:r>
        <w:rPr>
          <w:rStyle w:val="37"/>
          <w:rFonts w:ascii="宋体" w:hAnsi="宋体" w:eastAsia="宋体"/>
          <w:sz w:val="24"/>
          <w:szCs w:val="24"/>
          <w:highlight w:val="none"/>
        </w:rPr>
        <w:t>/</w:t>
      </w:r>
      <w:r>
        <w:rPr>
          <w:rStyle w:val="37"/>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4</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10</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14</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18</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rPr>
      </w:pPr>
      <w:r>
        <w:rPr>
          <w:rFonts w:hint="eastAsia" w:ascii="宋体" w:hAnsi="宋体" w:eastAsia="宋体" w:cs="Times New Roman"/>
          <w:sz w:val="24"/>
          <w:szCs w:val="24"/>
        </w:rPr>
        <w:t>地点：中国上海市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4"/>
        </w:rPr>
        <w:t>号上海市中医医院采购处</w:t>
      </w:r>
    </w:p>
    <w:bookmarkEnd w:id="6"/>
    <w:bookmarkEnd w:id="7"/>
    <w:p>
      <w:pPr>
        <w:autoSpaceDE w:val="0"/>
        <w:autoSpaceDN w:val="0"/>
        <w:spacing w:line="360" w:lineRule="auto"/>
        <w:rPr>
          <w:rFonts w:ascii="宋体" w:hAnsi="宋体" w:eastAsia="宋体" w:cs="宋体"/>
          <w:kern w:val="0"/>
          <w:sz w:val="24"/>
          <w:szCs w:val="24"/>
        </w:rPr>
      </w:pPr>
      <w:r>
        <w:rPr>
          <w:rFonts w:hint="eastAsia" w:ascii="宋体" w:hAnsi="宋体" w:eastAsia="宋体" w:cs="宋体"/>
          <w:kern w:val="0"/>
          <w:sz w:val="24"/>
          <w:szCs w:val="24"/>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w:t>
      </w:r>
      <w:r>
        <w:rPr>
          <w:rFonts w:hint="eastAsia" w:ascii="宋体" w:hAnsi="宋体" w:eastAsia="宋体" w:cs="Times New Roman"/>
          <w:sz w:val="24"/>
          <w:szCs w:val="24"/>
          <w:lang w:val="en-US" w:eastAsia="zh-CN"/>
        </w:rPr>
        <w:t>嘉定区</w:t>
      </w:r>
      <w:r>
        <w:rPr>
          <w:rFonts w:hint="eastAsia" w:ascii="宋体" w:hAnsi="宋体" w:eastAsia="宋体" w:cs="Times New Roman"/>
          <w:sz w:val="24"/>
          <w:szCs w:val="20"/>
          <w:lang w:val="en-US" w:eastAsia="zh-CN"/>
        </w:rPr>
        <w:t>荣联路68</w:t>
      </w:r>
      <w:r>
        <w:rPr>
          <w:rFonts w:hint="eastAsia" w:ascii="宋体" w:hAnsi="宋体" w:eastAsia="宋体" w:cs="Times New Roman"/>
          <w:sz w:val="24"/>
          <w:szCs w:val="20"/>
        </w:rPr>
        <w:t>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w:t>
      </w:r>
      <w:r>
        <w:rPr>
          <w:rFonts w:hint="eastAsia" w:ascii="宋体" w:hAnsi="宋体" w:eastAsia="宋体" w:cs="Times New Roman"/>
          <w:sz w:val="24"/>
          <w:szCs w:val="20"/>
          <w:lang w:val="en-US" w:eastAsia="zh-CN"/>
        </w:rPr>
        <w:t>1822</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11326093"/>
      <w:bookmarkStart w:id="9" w:name="_Toc9066359"/>
      <w:bookmarkStart w:id="10" w:name="_Toc516880880"/>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tbl>
      <w:tblPr>
        <w:tblStyle w:val="31"/>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w:t>
            </w:r>
          </w:p>
        </w:tc>
        <w:tc>
          <w:tcPr>
            <w:tcW w:w="8366" w:type="dxa"/>
            <w:vAlign w:val="center"/>
          </w:tcPr>
          <w:p>
            <w:pPr>
              <w:autoSpaceDE w:val="0"/>
              <w:autoSpaceDN w:val="0"/>
              <w:spacing w:line="360" w:lineRule="auto"/>
              <w:rPr>
                <w:rFonts w:hint="default" w:ascii="宋体" w:hAnsi="宋体" w:eastAsia="宋体" w:cs="宋体"/>
                <w:kern w:val="0"/>
                <w:sz w:val="24"/>
                <w:szCs w:val="24"/>
                <w:highlight w:val="none"/>
                <w:lang w:val="en-US"/>
              </w:rPr>
            </w:pPr>
            <w:r>
              <w:rPr>
                <w:rFonts w:hint="eastAsia" w:ascii="宋体" w:hAnsi="宋体" w:eastAsia="宋体" w:cs="Times New Roman"/>
                <w:sz w:val="24"/>
                <w:szCs w:val="20"/>
                <w:highlight w:val="none"/>
              </w:rPr>
              <w:t>项目名称：</w:t>
            </w:r>
            <w:r>
              <w:rPr>
                <w:rFonts w:hint="eastAsia" w:ascii="宋体" w:hAnsi="宋体" w:eastAsia="宋体" w:cs="宋体"/>
                <w:kern w:val="0"/>
                <w:sz w:val="24"/>
                <w:szCs w:val="24"/>
                <w:highlight w:val="none"/>
                <w:lang w:val="en-US" w:eastAsia="zh-CN"/>
              </w:rPr>
              <w:t>白血病免疫分型检测等试剂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合同名称：</w:t>
            </w:r>
            <w:r>
              <w:rPr>
                <w:rFonts w:hint="eastAsia" w:ascii="宋体" w:hAnsi="宋体" w:eastAsia="宋体" w:cs="宋体"/>
                <w:kern w:val="0"/>
                <w:sz w:val="24"/>
                <w:szCs w:val="24"/>
                <w:highlight w:val="none"/>
                <w:lang w:val="en-US" w:eastAsia="zh-CN"/>
              </w:rPr>
              <w:t>白血病免疫分型检测等试剂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3</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4.1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投标人应提供下列文件，并按顺序装订成册，编制投标文件目录：</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投标人应按照招标文件中提供的格式完整、正确填写投标书。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3.投标分项报价表</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4.货物说明一览表</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5.响应/偏离表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投标人应按《招标文件》要求填写技术规格响应/偏离表、商务条款响应/偏离表。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6.投标人资格证明文件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投标人资质证明文件具体内容见规定。</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.投标设备生产厂家的该产品最新原版正式技术参数资料（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）及产品货号、制造商公开发布的彩色印刷产品样本等技术资料</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8</w:t>
            </w:r>
            <w:r>
              <w:rPr>
                <w:rFonts w:hint="eastAsia" w:ascii="宋体" w:hAnsi="宋体" w:eastAsia="宋体" w:cs="Times New Roman"/>
                <w:sz w:val="24"/>
                <w:szCs w:val="20"/>
                <w:highlight w:val="none"/>
              </w:rPr>
              <w:t>.投标设备相关的技术服务、安装调试及保修服务的售后服务承诺书。</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9</w:t>
            </w:r>
            <w:r>
              <w:rPr>
                <w:rFonts w:hint="eastAsia" w:ascii="宋体" w:hAnsi="宋体" w:eastAsia="宋体" w:cs="Times New Roman"/>
                <w:sz w:val="24"/>
                <w:szCs w:val="20"/>
                <w:highlight w:val="none"/>
              </w:rPr>
              <w:t>.其他资料（投标人认为有必要提交的其他资料）</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投标人</w:t>
            </w:r>
            <w:r>
              <w:rPr>
                <w:rFonts w:hint="eastAsia" w:ascii="宋体" w:hAnsi="宋体" w:eastAsia="宋体" w:cs="Times New Roman"/>
                <w:sz w:val="24"/>
                <w:szCs w:val="20"/>
                <w:highlight w:val="none"/>
              </w:rPr>
              <w:t>应严格按照招标文件规定的格式和内容编制投标文件，</w:t>
            </w:r>
            <w:r>
              <w:rPr>
                <w:rFonts w:ascii="宋体" w:hAnsi="宋体" w:eastAsia="宋体" w:cs="Times New Roman"/>
                <w:sz w:val="24"/>
                <w:szCs w:val="20"/>
                <w:highlight w:val="none"/>
              </w:rPr>
              <w:t>要求对本招标文件</w:t>
            </w:r>
            <w:r>
              <w:rPr>
                <w:rFonts w:hint="eastAsia" w:ascii="宋体" w:hAnsi="宋体" w:eastAsia="宋体" w:cs="Times New Roman"/>
                <w:sz w:val="24"/>
                <w:szCs w:val="20"/>
                <w:highlight w:val="none"/>
                <w:lang w:val="en-US" w:eastAsia="zh-CN"/>
              </w:rPr>
              <w:t>4.1</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投标人应根据第</w:t>
            </w:r>
            <w:r>
              <w:rPr>
                <w:rFonts w:hint="eastAsia" w:ascii="宋体" w:hAnsi="宋体" w:eastAsia="宋体" w:cs="Times New Roman"/>
                <w:sz w:val="24"/>
                <w:szCs w:val="20"/>
                <w:highlight w:val="none"/>
                <w:lang w:val="en-US" w:eastAsia="zh-CN"/>
              </w:rPr>
              <w:t>四</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.5</w:t>
            </w:r>
          </w:p>
        </w:tc>
        <w:tc>
          <w:tcPr>
            <w:tcW w:w="8366" w:type="dxa"/>
            <w:vAlign w:val="center"/>
          </w:tcPr>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（1）若投标产品以外币报价且为中华人民共和国关境外交付的货物，按开标当日中国银行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4"/>
                <w:highlight w:val="none"/>
              </w:rPr>
              <w:t>（2）若投标产品以外币报价且为中华人民共和国关境内交付的货物，按开标当日中国银行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6</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1）关境内制造的货物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（1）EXW（出厂价）（应包括增值税和其它税费）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（4）按照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p>
            <w:pPr>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rPr>
              <w:t>仓库交货价（应包括增值税、关税和其他税费）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rPr>
              <w:t>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（1）投标人具有</w:t>
            </w:r>
            <w:r>
              <w:rPr>
                <w:rFonts w:ascii="宋体" w:hAnsi="宋体" w:eastAsia="宋体" w:cs="Times New Roman"/>
                <w:sz w:val="24"/>
                <w:szCs w:val="20"/>
                <w:highlight w:val="none"/>
              </w:rPr>
              <w:t>合法经营资质的独立法人</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其他组织</w:t>
            </w:r>
            <w:r>
              <w:rPr>
                <w:rFonts w:hint="eastAsia" w:ascii="宋体" w:hAnsi="宋体" w:eastAsia="宋体" w:cs="Times New Roman"/>
                <w:sz w:val="24"/>
                <w:szCs w:val="20"/>
                <w:highlight w:val="none"/>
              </w:rPr>
              <w:t>，并具备相应的经营、业务范围</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（2）投标人未被“信用中国”网站（www.creditchina.gov.cn）、中国政府采购网（www.ccgp.gov.cn</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列入失信执行人、重大税收违法案件当事人名单、政府采购严重违法失信行为记录名单</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（3）投标人参加政府采购活动前三年内，在经营活动中没有重大违法记录</w:t>
            </w:r>
            <w:r>
              <w:rPr>
                <w:rFonts w:hint="eastAsia" w:ascii="宋体" w:hAnsi="宋体" w:eastAsia="宋体" w:cs="Times New Roman"/>
                <w:sz w:val="24"/>
                <w:szCs w:val="20"/>
                <w:highlight w:val="none"/>
                <w:lang w:eastAsia="zh-CN"/>
              </w:rPr>
              <w:t>。</w:t>
            </w:r>
            <w:r>
              <w:rPr>
                <w:rFonts w:ascii="宋体" w:hAnsi="宋体" w:eastAsia="宋体" w:cs="Times New Roman"/>
                <w:sz w:val="24"/>
                <w:szCs w:val="20"/>
                <w:highlight w:val="none"/>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（4）投标人是专业生产本次所需设备的制造商，或由制造商指定代理商作为本次投标的授权代理</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（5）投标人必须具有相应设备的《医疗器械生产企业许可证》或《医疗器械经营企业许可证》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（6）投标产品需具备中华人民共和国国家食品药品和国家食品药品监督管理局颁发的开标之日在有效期内的《医疗器械产品注册证》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（7）投标人提供的投标机型应是原产地的全新产品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（8）投标人提供的投标机型应在中国国内有装机用户</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（9）投标人代表可以是法定代表人或被授权委托人。</w:t>
            </w:r>
          </w:p>
          <w:p>
            <w:pPr>
              <w:kinsoku w:val="0"/>
              <w:autoSpaceDE w:val="0"/>
              <w:autoSpaceDN w:val="0"/>
              <w:spacing w:line="360" w:lineRule="auto"/>
              <w:ind w:right="57" w:firstLine="480" w:firstLineChars="200"/>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（1）投标人在注册地的相关注册法律文件。若投标人在中华人民共和国境内注册的，则必须提供营业执照</w:t>
            </w:r>
            <w:r>
              <w:rPr>
                <w:rFonts w:hint="eastAsia" w:ascii="宋体" w:hAnsi="宋体" w:eastAsia="宋体" w:cs="宋体"/>
                <w:kern w:val="0"/>
                <w:sz w:val="24"/>
                <w:szCs w:val="24"/>
                <w:highlight w:val="none"/>
              </w:rPr>
              <w:t>（或事业单位、社会团体相关证书）</w:t>
            </w:r>
            <w:r>
              <w:rPr>
                <w:rFonts w:hint="eastAsia" w:ascii="宋体" w:hAnsi="宋体" w:eastAsia="宋体" w:cs="Times New Roman"/>
                <w:sz w:val="24"/>
                <w:szCs w:val="20"/>
                <w:highlight w:val="none"/>
              </w:rPr>
              <w:t>的复印件</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w:t>
            </w:r>
            <w:r>
              <w:rPr>
                <w:rFonts w:hint="eastAsia" w:ascii="宋体" w:hAnsi="宋体" w:eastAsia="宋体" w:cs="Times New Roman"/>
                <w:sz w:val="24"/>
                <w:szCs w:val="20"/>
                <w:highlight w:val="none"/>
                <w:lang w:eastAsia="zh-CN"/>
              </w:rPr>
              <w:t>。。</w:t>
            </w:r>
          </w:p>
          <w:p>
            <w:pPr>
              <w:spacing w:line="360" w:lineRule="auto"/>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（4）由投标设备生产厂家提供的投标机型的最新原版正式技术参数资料（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ascii="宋体" w:hAnsi="宋体" w:eastAsia="宋体" w:cs="Times New Roman"/>
                <w:strike/>
                <w:color w:val="00B0F0"/>
                <w:sz w:val="24"/>
                <w:szCs w:val="20"/>
                <w:highlight w:val="none"/>
              </w:rPr>
            </w:pPr>
            <w:r>
              <w:rPr>
                <w:rFonts w:hint="eastAsia" w:ascii="宋体" w:hAnsi="宋体" w:eastAsia="宋体" w:cs="Times New Roman"/>
                <w:sz w:val="24"/>
                <w:szCs w:val="20"/>
                <w:highlight w:val="none"/>
              </w:rPr>
              <w:t>（5）投标人应是专业生产本次所需主系统设备的制造商或制造商唯一授权的参与本次投标的代理商，且应得到制造商针对本次投标项目的制造商授权书，授权书的有效期应至少与投标有效期一致</w:t>
            </w:r>
            <w:r>
              <w:rPr>
                <w:rFonts w:hint="eastAsia" w:ascii="宋体" w:hAnsi="宋体" w:eastAsia="宋体" w:cs="Times New Roman"/>
                <w:sz w:val="24"/>
                <w:szCs w:val="20"/>
                <w:highlight w:val="none"/>
                <w:lang w:eastAsia="zh-CN"/>
              </w:rPr>
              <w:t>。</w:t>
            </w:r>
            <w:r>
              <w:rPr>
                <w:rFonts w:ascii="宋体" w:hAnsi="宋体" w:eastAsia="宋体" w:cs="Times New Roman"/>
                <w:strike/>
                <w:color w:val="00B0F0"/>
                <w:sz w:val="24"/>
                <w:szCs w:val="20"/>
                <w:highlight w:val="none"/>
              </w:rPr>
              <w:t xml:space="preserve"> </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（6）投标机型在中国国内的销售业绩，并提供装机用户名单（有用户名称）</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（7）投标人需提供无重大违法记录承诺书；</w:t>
            </w:r>
            <w:r>
              <w:rPr>
                <w:rFonts w:hint="eastAsia" w:ascii="宋体" w:hAnsi="宋体" w:eastAsia="宋体" w:cs="Times New Roman"/>
                <w:sz w:val="24"/>
                <w:szCs w:val="24"/>
                <w:highlight w:val="none"/>
              </w:rPr>
              <w:t>（格式见附件1）</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w:t>
            </w:r>
            <w:r>
              <w:rPr>
                <w:rFonts w:hint="eastAsia" w:ascii="宋体" w:hAnsi="宋体" w:eastAsia="宋体" w:cs="Times New Roman"/>
                <w:sz w:val="24"/>
                <w:szCs w:val="24"/>
                <w:highlight w:val="none"/>
              </w:rPr>
              <w:t>投标人需提供无行贿犯罪记录声明函；（格式见附件2）</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（9）</w:t>
            </w:r>
            <w:r>
              <w:rPr>
                <w:rFonts w:ascii="宋体" w:hAnsi="宋体" w:eastAsia="宋体" w:cs="Times New Roman"/>
                <w:sz w:val="24"/>
                <w:szCs w:val="20"/>
                <w:highlight w:val="none"/>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1）货物主要技术指标和性能的详细说明</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2）投标人必须提供投标货物验收合格后开始使用至第10年的周期内正常、连续地使用所必须的备件和专用工具清单，包括备件和专用工具的货源及现行价格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5）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8</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9</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正本的份数：1份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副本的份数：2份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9.2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投标文件的每一页都应由单位负责人或其授权代表用姓或首字母签字（包括样本等所有资料），否则其投标将被否决。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10</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18</w:t>
            </w:r>
            <w:bookmarkStart w:id="20" w:name="_GoBack"/>
            <w:bookmarkEnd w:id="20"/>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p>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地点：</w:t>
            </w:r>
            <w:r>
              <w:rPr>
                <w:rFonts w:hint="eastAsia" w:ascii="宋体" w:hAnsi="宋体" w:eastAsia="宋体" w:cs="Times New Roman"/>
                <w:sz w:val="24"/>
                <w:szCs w:val="20"/>
                <w:highlight w:val="none"/>
                <w:lang w:val="en-US" w:eastAsia="zh-CN"/>
              </w:rPr>
              <w:t>待通知</w:t>
            </w:r>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地址：</w:t>
            </w:r>
            <w:r>
              <w:rPr>
                <w:rFonts w:hint="eastAsia" w:ascii="宋体" w:hAnsi="宋体" w:eastAsia="宋体" w:cs="Times New Roman"/>
                <w:sz w:val="24"/>
                <w:szCs w:val="20"/>
                <w:highlight w:val="none"/>
                <w:lang w:val="en-US" w:eastAsia="zh-CN"/>
              </w:rPr>
              <w:t>上海市嘉定区荣联路68号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14）医院通过“信用中国”网站（www.creditchina.gov.cn）、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本招标文件所涵盖的货物必须按</w:t>
            </w:r>
            <w:r>
              <w:rPr>
                <w:rFonts w:hint="eastAsia" w:ascii="宋体" w:hAnsi="宋体" w:eastAsia="宋体" w:cs="Times New Roman"/>
                <w:sz w:val="24"/>
                <w:szCs w:val="20"/>
                <w:highlight w:val="none"/>
                <w:lang w:eastAsia="zh-CN"/>
              </w:rPr>
              <w:t>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highlight w:val="none"/>
              </w:rPr>
              <w:t>0.</w:t>
            </w:r>
            <w:r>
              <w:rPr>
                <w:rFonts w:hint="eastAsia" w:ascii="宋体" w:hAnsi="宋体" w:eastAsia="宋体" w:cs="Times New Roman"/>
                <w:sz w:val="24"/>
                <w:szCs w:val="20"/>
                <w:highlight w:val="none"/>
              </w:rPr>
              <w:t>5</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所选方案：1）</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投标人提出的付款计划应与第七章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合同专用条款</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中规定的付款计划相一致。不接受以上付款计划的，其投标将被否决。凡是未声明投标报价所对应的付款条件和方式的，将一律视为该报价所对应的付款条件和方式符合招标文件的规定。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所选方案：1）</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（1）投标人应在投标文件中提供按照出厂标准供应的货物质保期内运行所需的易损件和备品备件，其费用需提供分项报价，并计入投标总价</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在投标文件中提供按照出厂标准供应的货物质保期结束后运行2年内所需的易损件和备品备件，其费用需提供分项报价，不计入投标总价，并承诺在5年内不高于上述清单价格，并保证10年内的易损件和备品备件供应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.5</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中国关境内的备件供应和售后服务设施：详见</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“货物需求一览表及技术规格”中的相应要求，投标人对其要求的偏离按照本资料表第26.4.7条款的规定执行。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.6</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.7</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（1）招标文件中加注“★”号的为重要条款（参数），对任一重要条款（参数）的偏离，其投标将被否决</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（2）招标文件中未加注“★”号的为一般条款（参数），高于标准的，不考虑降低评标价，低于标准的，评标价将增加该设备投标价格的百分之壹（1</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中标人的确定：综合排名第一的中标候选人为中标人。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★增1</w:t>
            </w:r>
          </w:p>
        </w:tc>
        <w:tc>
          <w:tcPr>
            <w:tcW w:w="8366" w:type="dxa"/>
            <w:vAlign w:val="cente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关于原产于特定国家（地区）特定进口商品加征关税的规定</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（1）投标产品为原产于特定国家（地区）的特定商品被中国政府实施加征关税等措施且加征关税在实际进口时未被核准市场化采购排除的，加征的关税以及由此增加的增值税等额外税费由中标人承担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highlight w:val="none"/>
                <w:lang w:eastAsia="zh-CN"/>
              </w:rPr>
              <w:t>。</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（2）投标人需在投标时出具承担加征关税以及由此增加的增值税等额外税费的承诺书</w:t>
            </w:r>
            <w:r>
              <w:rPr>
                <w:rFonts w:hint="eastAsia" w:ascii="宋体" w:hAnsi="宋体" w:eastAsia="宋体" w:cs="Times New Roman"/>
                <w:sz w:val="24"/>
                <w:szCs w:val="24"/>
                <w:highlight w:val="none"/>
                <w:lang w:eastAsia="zh-CN"/>
              </w:rPr>
              <w:t>。</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11326094"/>
      <w:bookmarkStart w:id="12" w:name="_Toc9066360"/>
      <w:r>
        <w:rPr>
          <w:rFonts w:hint="eastAsia" w:ascii="宋体" w:hAnsi="宋体" w:eastAsia="宋体" w:cs="Times New Roman"/>
          <w:b/>
          <w:sz w:val="36"/>
          <w:szCs w:val="20"/>
        </w:rPr>
        <w:t>第三章 合同专用条款</w:t>
      </w:r>
      <w:bookmarkEnd w:id="11"/>
      <w:bookmarkEnd w:id="12"/>
    </w:p>
    <w:tbl>
      <w:tblPr>
        <w:tblStyle w:val="31"/>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w:t>
            </w:r>
            <w:r>
              <w:rPr>
                <w:rFonts w:hint="eastAsia" w:ascii="宋体" w:hAnsi="宋体" w:eastAsia="宋体" w:cs="Times New Roman"/>
                <w:sz w:val="24"/>
                <w:szCs w:val="20"/>
                <w:lang w:val="en-US" w:eastAsia="zh-CN"/>
              </w:rPr>
              <w:t>1822</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孙全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目的港：上海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1.5</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应提供的伴随服务：1），2），3），4），5）适用。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1.6</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卖方应按产品出厂标准供应的货物质保期内运行。若对备件有具体要求，详见第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1.7</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免费保修期为合同货物验收合格后的3年或以上保持有效。其他相关要求详见第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章“货物需求一览表及技术规格”的相关条款。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w:t>
            </w: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个月内买方支付货款的100%</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2.2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（1）卖方在货物交付时应保证投标设备医疗器械产品注册证（CF</w:t>
            </w:r>
            <w:r>
              <w:rPr>
                <w:rFonts w:ascii="宋体" w:hAnsi="宋体" w:eastAsia="宋体" w:cs="Times New Roman"/>
                <w:sz w:val="24"/>
                <w:szCs w:val="24"/>
              </w:rPr>
              <w:t>DA</w:t>
            </w:r>
            <w:r>
              <w:rPr>
                <w:rFonts w:hint="eastAsia" w:ascii="宋体" w:hAnsi="宋体" w:eastAsia="宋体" w:cs="Times New Roman"/>
                <w:sz w:val="24"/>
                <w:szCs w:val="24"/>
              </w:rPr>
              <w:t>）的有效性，若卖方无法提供有效的医疗器械产品注册证，则买方有权解除合同，并要求卖方支付合同金额10%的补偿金。</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（2）卖方应保证所交付的货物为交货日期前6个月内生产的全新产品，若交付的货物生产时间不符合要求，则买方有权解除合同，并要求卖方支付合同金额10%的补偿金。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2</w:t>
            </w:r>
            <w:r>
              <w:rPr>
                <w:rFonts w:ascii="宋体" w:hAnsi="宋体" w:eastAsia="宋体" w:cs="Times New Roman"/>
                <w:sz w:val="24"/>
                <w:szCs w:val="20"/>
              </w:rPr>
              <w:t>.3</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2.4</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5</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cols w:space="425" w:num="1"/>
          <w:docGrid w:type="linesAndChars" w:linePitch="312" w:charSpace="0"/>
        </w:sectPr>
      </w:pPr>
    </w:p>
    <w:p>
      <w:pPr>
        <w:keepNext/>
        <w:keepLines/>
        <w:numPr>
          <w:ilvl w:val="0"/>
          <w:numId w:val="3"/>
        </w:numPr>
        <w:autoSpaceDE w:val="0"/>
        <w:autoSpaceDN w:val="0"/>
        <w:spacing w:line="360" w:lineRule="auto"/>
        <w:ind w:right="73"/>
        <w:jc w:val="center"/>
        <w:outlineLvl w:val="2"/>
        <w:rPr>
          <w:rFonts w:ascii="宋体" w:hAnsi="宋体" w:eastAsia="宋体" w:cs="Times New Roman"/>
          <w:b/>
          <w:sz w:val="36"/>
          <w:szCs w:val="20"/>
          <w:highlight w:val="none"/>
        </w:rPr>
      </w:pPr>
      <w:bookmarkStart w:id="13" w:name="_Toc9066361"/>
      <w:bookmarkStart w:id="14" w:name="_Toc11326095"/>
      <w:r>
        <w:rPr>
          <w:rFonts w:hint="eastAsia" w:ascii="宋体" w:hAnsi="宋体" w:eastAsia="宋体" w:cs="Times New Roman"/>
          <w:b/>
          <w:sz w:val="36"/>
          <w:szCs w:val="20"/>
          <w:highlight w:val="none"/>
        </w:rPr>
        <w:t>货物需求一览表及技术规格</w:t>
      </w:r>
      <w:bookmarkEnd w:id="13"/>
      <w:bookmarkEnd w:id="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en-US" w:eastAsia="zh-CN"/>
        </w:rPr>
      </w:pPr>
      <w:bookmarkStart w:id="15" w:name="_Toc11326096"/>
      <w:r>
        <w:rPr>
          <w:rFonts w:hint="eastAsia" w:ascii="宋体" w:hAnsi="宋体" w:eastAsia="宋体" w:cs="宋体"/>
          <w:b/>
          <w:bCs/>
          <w:sz w:val="24"/>
          <w:szCs w:val="24"/>
          <w:highlight w:val="none"/>
          <w:lang w:val="en-US" w:eastAsia="zh-CN"/>
        </w:rPr>
        <w:t>包件一：</w:t>
      </w:r>
    </w:p>
    <w:p>
      <w:pPr>
        <w:pStyle w:val="54"/>
        <w:numPr>
          <w:ilvl w:val="0"/>
          <w:numId w:val="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b w:val="0"/>
          <w:bCs w:val="0"/>
          <w:sz w:val="24"/>
          <w:szCs w:val="24"/>
          <w:lang w:val="en-US" w:eastAsia="zh-CN"/>
        </w:rPr>
        <w:t>白血病免疫分型检测</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color w:val="000000"/>
          <w:kern w:val="0"/>
          <w:sz w:val="24"/>
          <w:szCs w:val="24"/>
          <w:lang w:val="en-US" w:eastAsia="zh-CN" w:bidi="ar"/>
        </w:rPr>
        <w:t>试剂用途：检测白血病细胞的细胞膜和细胞浆抗原，分析其免疫表型，从而了解被测白血病细胞所属细胞系列及分化程度</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样本类型：骨髓、全血（EDTA抗凝）</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b w:val="0"/>
          <w:bCs w:val="0"/>
          <w:sz w:val="24"/>
          <w:szCs w:val="24"/>
        </w:rPr>
        <w:t>★</w:t>
      </w:r>
      <w:r>
        <w:rPr>
          <w:rFonts w:hint="eastAsia" w:ascii="宋体" w:hAnsi="宋体" w:eastAsia="宋体" w:cs="宋体"/>
          <w:b w:val="0"/>
          <w:bCs w:val="0"/>
          <w:kern w:val="2"/>
          <w:sz w:val="24"/>
          <w:szCs w:val="24"/>
          <w:lang w:val="en-US" w:eastAsia="zh-CN" w:bidi="ar-SA"/>
        </w:rPr>
        <w:t>检测指标：至少包含CD4、CD5、CD13、CD23、CD56、CD79a、CD117</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稳定性：全血样本在采集后24小时内检测，染色样本在染色后24小时内检测</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准确性：</w:t>
      </w:r>
      <w:r>
        <w:rPr>
          <w:rFonts w:hint="eastAsia" w:ascii="宋体" w:hAnsi="宋体" w:eastAsia="宋体" w:cs="宋体"/>
          <w:sz w:val="24"/>
          <w:szCs w:val="28"/>
        </w:rPr>
        <w:t>符合《中华人民共和国医药行业标准YY/T 1184-2010 流式细胞仪用单克隆抗体试剂》要求， 抗原相对计数结果，无统计学差异（P≥0.05）</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精密度：</w:t>
      </w:r>
      <w:r>
        <w:rPr>
          <w:rFonts w:hint="eastAsia" w:ascii="宋体" w:hAnsi="宋体" w:eastAsia="宋体" w:cs="宋体"/>
          <w:sz w:val="24"/>
          <w:szCs w:val="28"/>
        </w:rPr>
        <w:t>不同批次试剂检测结果变异系数不大于8%</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b w:val="0"/>
          <w:bCs w:val="0"/>
          <w:sz w:val="24"/>
          <w:szCs w:val="24"/>
        </w:rPr>
        <w:t>★</w:t>
      </w:r>
      <w:r>
        <w:rPr>
          <w:rFonts w:hint="eastAsia" w:ascii="宋体" w:hAnsi="宋体" w:eastAsia="宋体" w:cs="宋体"/>
          <w:b w:val="0"/>
          <w:bCs w:val="0"/>
          <w:kern w:val="2"/>
          <w:sz w:val="24"/>
          <w:szCs w:val="24"/>
          <w:lang w:val="en-US" w:eastAsia="zh-CN" w:bidi="ar-SA"/>
        </w:rPr>
        <w:t>生产有效期：≥6个月</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8"/>
          <w:lang w:val="en-US" w:eastAsia="zh-CN"/>
        </w:rPr>
      </w:pPr>
      <w:r>
        <w:rPr>
          <w:rFonts w:hint="eastAsia" w:ascii="宋体" w:hAnsi="宋体" w:eastAsia="宋体" w:cs="宋体"/>
          <w:b w:val="0"/>
          <w:bCs w:val="0"/>
          <w:kern w:val="2"/>
          <w:sz w:val="24"/>
          <w:szCs w:val="24"/>
          <w:lang w:val="en-US" w:eastAsia="zh-CN" w:bidi="ar-SA"/>
        </w:rPr>
        <w:t>入库有效期：≥3个月</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8"/>
          <w:lang w:val="en-US" w:eastAsia="zh-CN"/>
        </w:rPr>
      </w:pPr>
      <w:r>
        <w:rPr>
          <w:rFonts w:hint="eastAsia" w:ascii="宋体" w:hAnsi="宋体" w:eastAsia="宋体" w:cs="宋体"/>
          <w:sz w:val="24"/>
          <w:szCs w:val="28"/>
        </w:rPr>
        <w:t>运输条件</w:t>
      </w:r>
      <w:r>
        <w:rPr>
          <w:rFonts w:hint="eastAsia" w:ascii="宋体" w:hAnsi="宋体" w:eastAsia="宋体" w:cs="宋体"/>
          <w:sz w:val="24"/>
          <w:szCs w:val="28"/>
          <w:lang w:eastAsia="zh-CN"/>
        </w:rPr>
        <w:t>：</w:t>
      </w:r>
      <w:r>
        <w:rPr>
          <w:rFonts w:hint="eastAsia" w:ascii="宋体" w:hAnsi="宋体" w:eastAsia="宋体" w:cs="宋体"/>
          <w:sz w:val="24"/>
          <w:szCs w:val="28"/>
        </w:rPr>
        <w:t>要求具有冷链运输，提供冷链运输说明</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eastAsia="zh-CN"/>
        </w:rPr>
        <w:t>配套试剂：能提供鞘液、清洗液、关机液等配套试剂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b w:val="0"/>
          <w:bCs w:val="0"/>
          <w:sz w:val="24"/>
          <w:szCs w:val="24"/>
          <w:lang w:val="en-US" w:eastAsia="zh-CN"/>
        </w:rPr>
      </w:pPr>
      <w:r>
        <w:rPr>
          <w:rFonts w:hint="eastAsia" w:ascii="宋体" w:hAnsi="宋体" w:eastAsia="宋体" w:cs="宋体"/>
          <w:sz w:val="24"/>
          <w:szCs w:val="28"/>
        </w:rPr>
        <w:t>★投标人需响应医院SPD项目相关要求,并与上药</w:t>
      </w:r>
      <w:r>
        <w:rPr>
          <w:rFonts w:hint="eastAsia" w:ascii="宋体" w:hAnsi="宋体" w:eastAsia="宋体" w:cs="宋体"/>
          <w:b w:val="0"/>
          <w:bCs w:val="0"/>
          <w:sz w:val="24"/>
          <w:szCs w:val="24"/>
        </w:rPr>
        <w:t>医疗供应链管理(上海)有限公司签署相关SPD协议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包件二：</w:t>
      </w:r>
    </w:p>
    <w:p>
      <w:pPr>
        <w:pStyle w:val="54"/>
        <w:numPr>
          <w:ilvl w:val="0"/>
          <w:numId w:val="6"/>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b w:val="0"/>
          <w:bCs w:val="0"/>
          <w:kern w:val="2"/>
          <w:sz w:val="24"/>
          <w:szCs w:val="24"/>
          <w:lang w:val="en-US" w:eastAsia="zh-CN" w:bidi="ar-SA"/>
        </w:rPr>
        <w:t>淋巴细胞亚群绝对数检测</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color w:val="000000"/>
          <w:kern w:val="0"/>
          <w:sz w:val="24"/>
          <w:szCs w:val="24"/>
          <w:lang w:val="en-US" w:eastAsia="zh-CN" w:bidi="ar"/>
        </w:rPr>
        <w:t>试剂用途：</w:t>
      </w:r>
      <w:r>
        <w:rPr>
          <w:rFonts w:hint="eastAsia" w:ascii="宋体" w:hAnsi="宋体" w:eastAsia="宋体" w:cs="宋体"/>
          <w:sz w:val="24"/>
          <w:szCs w:val="24"/>
        </w:rPr>
        <w:t>用于鉴别和确定外周血中T 淋巴细胞、B 淋巴细胞和自然杀伤细胞(NK)以及T 细胞的 CD4</w:t>
      </w:r>
      <w:r>
        <w:rPr>
          <w:rFonts w:hint="eastAsia" w:ascii="宋体" w:hAnsi="宋体" w:eastAsia="宋体" w:cs="宋体"/>
          <w:position w:val="7"/>
          <w:sz w:val="24"/>
          <w:szCs w:val="24"/>
        </w:rPr>
        <w:t>+</w:t>
      </w:r>
      <w:r>
        <w:rPr>
          <w:rFonts w:hint="eastAsia" w:ascii="宋体" w:hAnsi="宋体" w:eastAsia="宋体" w:cs="宋体"/>
          <w:sz w:val="24"/>
          <w:szCs w:val="24"/>
        </w:rPr>
        <w:t>和 CD8</w:t>
      </w:r>
      <w:r>
        <w:rPr>
          <w:rFonts w:hint="eastAsia" w:ascii="宋体" w:hAnsi="宋体" w:eastAsia="宋体" w:cs="宋体"/>
          <w:position w:val="7"/>
          <w:sz w:val="24"/>
          <w:szCs w:val="24"/>
        </w:rPr>
        <w:t>+</w:t>
      </w:r>
      <w:r>
        <w:rPr>
          <w:rFonts w:hint="eastAsia" w:ascii="宋体" w:hAnsi="宋体" w:eastAsia="宋体" w:cs="宋体"/>
          <w:sz w:val="24"/>
          <w:szCs w:val="24"/>
        </w:rPr>
        <w:t>亚群的百分比和绝对计数值</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样本类型：骨髓、全血（EDTA抗凝）</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rPr>
        <w:t>★</w:t>
      </w:r>
      <w:r>
        <w:rPr>
          <w:rFonts w:hint="eastAsia" w:ascii="宋体" w:hAnsi="宋体" w:eastAsia="宋体" w:cs="宋体"/>
          <w:b w:val="0"/>
          <w:bCs w:val="0"/>
          <w:kern w:val="2"/>
          <w:sz w:val="24"/>
          <w:szCs w:val="24"/>
          <w:lang w:val="en-US" w:eastAsia="zh-CN" w:bidi="ar-SA"/>
        </w:rPr>
        <w:t>检测指标：</w:t>
      </w:r>
      <w:r>
        <w:rPr>
          <w:rFonts w:hint="eastAsia" w:ascii="宋体" w:hAnsi="宋体" w:eastAsia="宋体" w:cs="宋体"/>
          <w:sz w:val="24"/>
          <w:szCs w:val="24"/>
        </w:rPr>
        <w:t>至少包含</w:t>
      </w:r>
      <w:r>
        <w:rPr>
          <w:rFonts w:hint="eastAsia" w:ascii="宋体" w:hAnsi="宋体" w:eastAsia="宋体" w:cs="宋体"/>
          <w:sz w:val="24"/>
          <w:szCs w:val="24"/>
          <w:lang w:val="en-US" w:eastAsia="zh-CN"/>
        </w:rPr>
        <w:t>CD3、CD4、CD8、CD16+56、CD19、CD45</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b w:val="0"/>
          <w:bCs w:val="0"/>
          <w:kern w:val="2"/>
          <w:sz w:val="24"/>
          <w:szCs w:val="24"/>
          <w:lang w:val="en-US" w:eastAsia="zh-CN" w:bidi="ar-SA"/>
        </w:rPr>
        <w:t>稳定性：</w:t>
      </w:r>
      <w:r>
        <w:rPr>
          <w:rFonts w:hint="eastAsia" w:ascii="宋体" w:hAnsi="宋体" w:eastAsia="宋体" w:cs="宋体"/>
          <w:sz w:val="24"/>
          <w:szCs w:val="24"/>
          <w:lang w:eastAsia="zh-CN"/>
        </w:rPr>
        <w:t>全血样本在采集后</w:t>
      </w:r>
      <w:r>
        <w:rPr>
          <w:rFonts w:hint="eastAsia" w:ascii="宋体" w:hAnsi="宋体" w:eastAsia="宋体" w:cs="宋体"/>
          <w:sz w:val="24"/>
          <w:szCs w:val="24"/>
          <w:lang w:val="en-US" w:eastAsia="zh-CN"/>
        </w:rPr>
        <w:t>52小时内检测，染色样本在染色后24小时内检测</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有效期：≥9个月</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研究点内精密度SD：各个指标</w:t>
      </w:r>
      <w:r>
        <w:rPr>
          <w:rFonts w:hint="eastAsia" w:ascii="宋体" w:hAnsi="宋体" w:eastAsia="宋体" w:cs="宋体"/>
          <w:sz w:val="24"/>
          <w:szCs w:val="24"/>
        </w:rPr>
        <w:t>≤</w:t>
      </w:r>
      <w:r>
        <w:rPr>
          <w:rFonts w:hint="eastAsia" w:ascii="宋体" w:hAnsi="宋体" w:eastAsia="宋体" w:cs="宋体"/>
          <w:sz w:val="24"/>
          <w:szCs w:val="24"/>
          <w:lang w:val="en-US" w:eastAsia="zh-CN"/>
        </w:rPr>
        <w:t>1.9</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重复性</w:t>
      </w:r>
      <w:r>
        <w:rPr>
          <w:rFonts w:hint="eastAsia" w:ascii="宋体" w:hAnsi="宋体" w:eastAsia="宋体" w:cs="宋体"/>
          <w:sz w:val="24"/>
          <w:szCs w:val="24"/>
          <w:lang w:val="en-US" w:eastAsia="zh-CN"/>
        </w:rPr>
        <w:t>SD：各个指标</w:t>
      </w:r>
      <w:r>
        <w:rPr>
          <w:rFonts w:hint="eastAsia" w:ascii="宋体" w:hAnsi="宋体" w:eastAsia="宋体" w:cs="宋体"/>
          <w:sz w:val="24"/>
          <w:szCs w:val="24"/>
        </w:rPr>
        <w:t>≤</w:t>
      </w:r>
      <w:r>
        <w:rPr>
          <w:rFonts w:hint="eastAsia" w:ascii="宋体" w:hAnsi="宋体" w:eastAsia="宋体" w:cs="宋体"/>
          <w:sz w:val="24"/>
          <w:szCs w:val="24"/>
          <w:lang w:val="en-US" w:eastAsia="zh-CN"/>
        </w:rPr>
        <w:t>1.6</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运输条件</w:t>
      </w:r>
      <w:r>
        <w:rPr>
          <w:rFonts w:hint="eastAsia" w:ascii="宋体" w:hAnsi="宋体" w:eastAsia="宋体" w:cs="宋体"/>
          <w:sz w:val="24"/>
          <w:szCs w:val="24"/>
          <w:lang w:eastAsia="zh-CN"/>
        </w:rPr>
        <w:t>：</w:t>
      </w:r>
      <w:r>
        <w:rPr>
          <w:rFonts w:hint="eastAsia" w:ascii="宋体" w:hAnsi="宋体" w:eastAsia="宋体" w:cs="宋体"/>
          <w:sz w:val="24"/>
          <w:szCs w:val="24"/>
        </w:rPr>
        <w:t>要求具有冷链运输，提供冷链运输说明</w:t>
      </w:r>
    </w:p>
    <w:p>
      <w:pPr>
        <w:pStyle w:val="54"/>
        <w:widowControl w:val="0"/>
        <w:numPr>
          <w:ilvl w:val="0"/>
          <w:numId w:val="7"/>
        </w:numPr>
        <w:spacing w:line="360" w:lineRule="auto"/>
        <w:ind w:left="425" w:leftChars="0" w:hanging="425" w:firstLineChars="0"/>
        <w:jc w:val="both"/>
        <w:rPr>
          <w:rFonts w:hint="eastAsia" w:ascii="宋体" w:hAnsi="宋体" w:eastAsia="宋体"/>
          <w:b w:val="0"/>
          <w:bCs w:val="0"/>
          <w:sz w:val="24"/>
          <w:szCs w:val="24"/>
          <w:lang w:val="en-US" w:eastAsia="zh-CN"/>
        </w:rPr>
      </w:pPr>
      <w:r>
        <w:rPr>
          <w:rFonts w:hint="eastAsia" w:ascii="宋体" w:hAnsi="宋体" w:eastAsia="宋体" w:cs="宋体"/>
          <w:sz w:val="24"/>
          <w:szCs w:val="24"/>
        </w:rPr>
        <w:t>★投标人需响应医院SPD项目相关要求,并与上药</w:t>
      </w:r>
      <w:r>
        <w:rPr>
          <w:rFonts w:hint="eastAsia" w:ascii="宋体" w:hAnsi="宋体" w:eastAsia="宋体" w:cs="宋体"/>
          <w:b w:val="0"/>
          <w:bCs w:val="0"/>
          <w:sz w:val="24"/>
          <w:szCs w:val="24"/>
        </w:rPr>
        <w:t>医疗供应链管理(上海)有限公司签署相关SPD协议</w:t>
      </w:r>
    </w:p>
    <w:p>
      <w:pPr>
        <w:numPr>
          <w:ilvl w:val="0"/>
          <w:numId w:val="0"/>
        </w:numPr>
        <w:spacing w:line="360" w:lineRule="auto"/>
        <w:ind w:leftChars="0"/>
        <w:rPr>
          <w:rFonts w:hint="eastAsia" w:ascii="宋体" w:hAnsi="宋体" w:eastAsia="宋体" w:cs="宋体"/>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包件三：</w:t>
      </w:r>
    </w:p>
    <w:p>
      <w:pPr>
        <w:pStyle w:val="54"/>
        <w:numPr>
          <w:ilvl w:val="0"/>
          <w:numId w:val="8"/>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b w:val="0"/>
          <w:bCs w:val="0"/>
          <w:kern w:val="2"/>
          <w:sz w:val="24"/>
          <w:szCs w:val="24"/>
          <w:lang w:val="en-US" w:eastAsia="zh-CN" w:bidi="ar-SA"/>
        </w:rPr>
        <w:t>调节性T细胞检测</w:t>
      </w:r>
    </w:p>
    <w:p>
      <w:pPr>
        <w:pStyle w:val="54"/>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8"/>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8"/>
        </w:numPr>
        <w:spacing w:line="360" w:lineRule="auto"/>
        <w:ind w:left="-420" w:leftChars="0" w:firstLine="420" w:firstLineChars="0"/>
        <w:jc w:val="both"/>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keepNext w:val="0"/>
        <w:keepLines w:val="0"/>
        <w:widowControl/>
        <w:numPr>
          <w:ilvl w:val="0"/>
          <w:numId w:val="9"/>
        </w:numPr>
        <w:suppressLineNumbers w:val="0"/>
        <w:spacing w:line="360" w:lineRule="auto"/>
        <w:ind w:left="425" w:leftChars="0" w:hanging="425"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eastAsia="zh-CN"/>
        </w:rPr>
        <w:t>试剂</w:t>
      </w:r>
      <w:r>
        <w:rPr>
          <w:rFonts w:hint="eastAsia" w:ascii="宋体" w:hAnsi="宋体" w:eastAsia="宋体" w:cs="宋体"/>
          <w:sz w:val="24"/>
          <w:szCs w:val="24"/>
        </w:rPr>
        <w:t>用途</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lang w:val="en-US" w:eastAsia="zh-CN" w:bidi="ar"/>
        </w:rPr>
        <w:t>调节性T细胞是体内重要的免疫调节细胞,可抑制病毒感染导致的免疫病理损伤,对该亚群进行检测有助于判断疾病的预后</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样本类型：骨髓、全血（EDTA抗凝）</w:t>
      </w:r>
    </w:p>
    <w:p>
      <w:pPr>
        <w:keepNext w:val="0"/>
        <w:keepLines w:val="0"/>
        <w:widowControl/>
        <w:numPr>
          <w:ilvl w:val="0"/>
          <w:numId w:val="9"/>
        </w:numPr>
        <w:suppressLineNumbers w:val="0"/>
        <w:spacing w:line="360" w:lineRule="auto"/>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b w:val="0"/>
          <w:bCs w:val="0"/>
          <w:sz w:val="24"/>
          <w:szCs w:val="24"/>
        </w:rPr>
        <w:t>★</w:t>
      </w:r>
      <w:r>
        <w:rPr>
          <w:rFonts w:hint="eastAsia" w:ascii="宋体" w:hAnsi="宋体" w:eastAsia="宋体" w:cs="宋体"/>
          <w:b w:val="0"/>
          <w:bCs w:val="0"/>
          <w:kern w:val="2"/>
          <w:sz w:val="24"/>
          <w:szCs w:val="24"/>
          <w:lang w:val="en-US" w:eastAsia="zh-CN" w:bidi="ar-SA"/>
        </w:rPr>
        <w:t>检测指标：</w:t>
      </w:r>
      <w:r>
        <w:rPr>
          <w:rFonts w:hint="eastAsia" w:ascii="宋体" w:hAnsi="宋体" w:eastAsia="宋体" w:cs="宋体"/>
          <w:sz w:val="24"/>
          <w:szCs w:val="24"/>
          <w:lang w:eastAsia="zh-CN"/>
        </w:rPr>
        <w:t>至少包含</w:t>
      </w:r>
      <w:r>
        <w:rPr>
          <w:rFonts w:hint="eastAsia" w:ascii="宋体" w:hAnsi="宋体" w:eastAsia="宋体" w:cs="宋体"/>
          <w:sz w:val="24"/>
          <w:szCs w:val="24"/>
          <w:lang w:val="en-US" w:eastAsia="zh-CN"/>
        </w:rPr>
        <w:t>CD3、CD4、CD25、CD127</w:t>
      </w:r>
    </w:p>
    <w:p>
      <w:pPr>
        <w:keepNext w:val="0"/>
        <w:keepLines w:val="0"/>
        <w:widowControl/>
        <w:numPr>
          <w:ilvl w:val="0"/>
          <w:numId w:val="9"/>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SA"/>
        </w:rPr>
        <w:t>准确性：</w:t>
      </w:r>
      <w:r>
        <w:rPr>
          <w:rFonts w:hint="eastAsia" w:ascii="宋体" w:hAnsi="宋体" w:eastAsia="宋体" w:cs="宋体"/>
          <w:sz w:val="24"/>
          <w:szCs w:val="24"/>
        </w:rPr>
        <w:t>符合《中华人民共和国医药行业标准YY/T 1184-2010 流式细胞仪用单克隆抗体试剂》要求， 抗原相对计数结果，无统计学差异（P≥0.05）</w:t>
      </w:r>
    </w:p>
    <w:p>
      <w:pPr>
        <w:keepNext w:val="0"/>
        <w:keepLines w:val="0"/>
        <w:widowControl/>
        <w:numPr>
          <w:ilvl w:val="0"/>
          <w:numId w:val="9"/>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sz w:val="24"/>
          <w:szCs w:val="24"/>
          <w:lang w:val="en-US" w:eastAsia="zh-CN"/>
        </w:rPr>
        <w:t>精密度：</w:t>
      </w:r>
      <w:r>
        <w:rPr>
          <w:rFonts w:hint="eastAsia" w:ascii="宋体" w:hAnsi="宋体" w:eastAsia="宋体" w:cs="宋体"/>
          <w:sz w:val="24"/>
          <w:szCs w:val="24"/>
        </w:rPr>
        <w:t>不同批次试剂检测结果变异系数不大于8%</w:t>
      </w:r>
    </w:p>
    <w:p>
      <w:pPr>
        <w:keepNext w:val="0"/>
        <w:keepLines w:val="0"/>
        <w:widowControl/>
        <w:numPr>
          <w:ilvl w:val="0"/>
          <w:numId w:val="9"/>
        </w:numPr>
        <w:suppressLineNumbers w:val="0"/>
        <w:spacing w:line="360" w:lineRule="auto"/>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rPr>
        <w:t>运输条件</w:t>
      </w:r>
      <w:r>
        <w:rPr>
          <w:rFonts w:hint="eastAsia" w:ascii="宋体" w:hAnsi="宋体" w:eastAsia="宋体" w:cs="宋体"/>
          <w:sz w:val="24"/>
          <w:szCs w:val="24"/>
          <w:lang w:eastAsia="zh-CN"/>
        </w:rPr>
        <w:t>：</w:t>
      </w:r>
      <w:r>
        <w:rPr>
          <w:rFonts w:hint="eastAsia" w:ascii="宋体" w:hAnsi="宋体" w:eastAsia="宋体" w:cs="宋体"/>
          <w:sz w:val="24"/>
          <w:szCs w:val="24"/>
        </w:rPr>
        <w:t>要求具有冷链运输，提供冷链运输说明</w:t>
      </w:r>
    </w:p>
    <w:p>
      <w:pPr>
        <w:pStyle w:val="54"/>
        <w:widowControl w:val="0"/>
        <w:numPr>
          <w:ilvl w:val="0"/>
          <w:numId w:val="9"/>
        </w:numPr>
        <w:spacing w:line="360" w:lineRule="auto"/>
        <w:ind w:left="425" w:leftChars="0" w:hanging="425" w:firstLineChars="0"/>
        <w:jc w:val="both"/>
        <w:rPr>
          <w:rFonts w:hint="eastAsia" w:ascii="宋体" w:hAnsi="宋体" w:eastAsia="宋体" w:cs="宋体"/>
          <w:sz w:val="24"/>
          <w:szCs w:val="24"/>
          <w:lang w:eastAsia="zh-CN"/>
        </w:rPr>
      </w:pPr>
      <w:r>
        <w:rPr>
          <w:rFonts w:hint="eastAsia" w:ascii="宋体" w:hAnsi="宋体" w:eastAsia="宋体"/>
          <w:b w:val="0"/>
          <w:bCs w:val="0"/>
          <w:sz w:val="24"/>
          <w:szCs w:val="24"/>
        </w:rPr>
        <w:t>★</w:t>
      </w:r>
      <w:r>
        <w:rPr>
          <w:rFonts w:hint="eastAsia" w:ascii="宋体" w:hAnsi="宋体" w:eastAsia="宋体" w:cs="宋体"/>
          <w:sz w:val="24"/>
          <w:szCs w:val="24"/>
          <w:lang w:eastAsia="zh-CN"/>
        </w:rPr>
        <w:t>生产</w:t>
      </w:r>
      <w:r>
        <w:rPr>
          <w:rFonts w:hint="eastAsia" w:ascii="宋体" w:hAnsi="宋体" w:eastAsia="宋体" w:cs="宋体"/>
          <w:sz w:val="24"/>
          <w:szCs w:val="24"/>
        </w:rPr>
        <w:t>有效期</w:t>
      </w:r>
      <w:r>
        <w:rPr>
          <w:rFonts w:hint="eastAsia" w:ascii="宋体" w:hAnsi="宋体" w:eastAsia="宋体" w:cs="宋体"/>
          <w:sz w:val="24"/>
          <w:szCs w:val="24"/>
          <w:lang w:eastAsia="zh-CN"/>
        </w:rPr>
        <w:t>：</w:t>
      </w:r>
      <w:bookmarkStart w:id="16" w:name="OLE_LINK2"/>
      <w:bookmarkStart w:id="17" w:name="OLE_LINK1"/>
      <w:r>
        <w:rPr>
          <w:rFonts w:hint="eastAsia" w:ascii="宋体" w:hAnsi="宋体" w:eastAsia="宋体" w:cs="宋体"/>
          <w:sz w:val="24"/>
          <w:szCs w:val="24"/>
        </w:rPr>
        <w:t>≥</w:t>
      </w:r>
      <w:bookmarkEnd w:id="16"/>
      <w:r>
        <w:rPr>
          <w:rFonts w:hint="eastAsia" w:ascii="宋体" w:hAnsi="宋体" w:eastAsia="宋体" w:cs="宋体"/>
          <w:sz w:val="24"/>
          <w:szCs w:val="24"/>
          <w:lang w:val="en-US" w:eastAsia="zh-CN"/>
        </w:rPr>
        <w:t>8</w:t>
      </w:r>
      <w:r>
        <w:rPr>
          <w:rFonts w:hint="eastAsia" w:ascii="宋体" w:hAnsi="宋体" w:eastAsia="宋体" w:cs="宋体"/>
          <w:sz w:val="24"/>
          <w:szCs w:val="24"/>
        </w:rPr>
        <w:t>个月</w:t>
      </w:r>
      <w:bookmarkEnd w:id="17"/>
    </w:p>
    <w:p>
      <w:pPr>
        <w:pStyle w:val="54"/>
        <w:widowControl w:val="0"/>
        <w:numPr>
          <w:ilvl w:val="0"/>
          <w:numId w:val="9"/>
        </w:numPr>
        <w:spacing w:line="360" w:lineRule="auto"/>
        <w:ind w:left="425" w:leftChars="0" w:hanging="425" w:firstLineChars="0"/>
        <w:jc w:val="both"/>
        <w:rPr>
          <w:rFonts w:hint="eastAsia" w:ascii="宋体" w:hAnsi="宋体"/>
          <w:sz w:val="24"/>
        </w:rPr>
      </w:pPr>
      <w:r>
        <w:rPr>
          <w:rFonts w:hint="eastAsia" w:ascii="宋体" w:hAnsi="宋体" w:eastAsia="宋体" w:cs="宋体"/>
          <w:sz w:val="24"/>
          <w:szCs w:val="24"/>
          <w:lang w:eastAsia="zh-CN"/>
        </w:rPr>
        <w:t>入库有效期：</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个月</w:t>
      </w:r>
    </w:p>
    <w:p>
      <w:pPr>
        <w:pStyle w:val="54"/>
        <w:widowControl w:val="0"/>
        <w:numPr>
          <w:ilvl w:val="0"/>
          <w:numId w:val="9"/>
        </w:numPr>
        <w:spacing w:line="360" w:lineRule="auto"/>
        <w:ind w:left="425" w:leftChars="0" w:hanging="425" w:firstLine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rPr>
        <w:t>★</w:t>
      </w:r>
      <w:r>
        <w:rPr>
          <w:rFonts w:hint="eastAsia" w:ascii="宋体" w:hAnsi="宋体" w:eastAsia="宋体"/>
          <w:b w:val="0"/>
          <w:bCs w:val="0"/>
          <w:sz w:val="24"/>
          <w:szCs w:val="24"/>
          <w:lang w:val="en-US" w:eastAsia="zh-CN"/>
        </w:rPr>
        <w:t>投标人需响应医院SPD项目相关要求,并与上药医疗供应链管理(上海)有限公司签署相关SPD协议</w:t>
      </w:r>
    </w:p>
    <w:p>
      <w:pPr>
        <w:pStyle w:val="54"/>
        <w:widowControl w:val="0"/>
        <w:numPr>
          <w:ilvl w:val="0"/>
          <w:numId w:val="0"/>
        </w:numPr>
        <w:spacing w:line="360" w:lineRule="auto"/>
        <w:jc w:val="both"/>
        <w:rPr>
          <w:rFonts w:hint="eastAsia" w:ascii="宋体" w:hAnsi="宋体" w:eastAsia="宋体"/>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包件四：</w:t>
      </w:r>
    </w:p>
    <w:p>
      <w:pPr>
        <w:pStyle w:val="54"/>
        <w:numPr>
          <w:ilvl w:val="0"/>
          <w:numId w:val="10"/>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cs="宋体"/>
          <w:b w:val="0"/>
          <w:bCs w:val="0"/>
          <w:kern w:val="2"/>
          <w:sz w:val="24"/>
          <w:szCs w:val="24"/>
          <w:lang w:val="en-US" w:eastAsia="zh-CN" w:bidi="ar-SA"/>
        </w:rPr>
        <w:t>T淋巴细胞和NK细胞精细分型</w:t>
      </w:r>
    </w:p>
    <w:p>
      <w:pPr>
        <w:pStyle w:val="54"/>
        <w:numPr>
          <w:ilvl w:val="0"/>
          <w:numId w:val="10"/>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0"/>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0"/>
        </w:numPr>
        <w:spacing w:line="360" w:lineRule="auto"/>
        <w:ind w:left="-420" w:leftChars="0" w:firstLine="420" w:firstLineChars="0"/>
        <w:rPr>
          <w:rFonts w:hint="eastAsia" w:ascii="宋体" w:hAnsi="宋体" w:eastAsia="宋体" w:cs="Times New Roman"/>
          <w:b/>
          <w:sz w:val="28"/>
          <w:szCs w:val="20"/>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numPr>
          <w:ilvl w:val="0"/>
          <w:numId w:val="10"/>
        </w:numPr>
        <w:spacing w:line="360" w:lineRule="auto"/>
        <w:ind w:left="-420" w:leftChars="0" w:firstLine="420" w:firstLineChars="0"/>
        <w:rPr>
          <w:rFonts w:hint="eastAsia" w:ascii="宋体" w:hAnsi="宋体" w:eastAsia="宋体" w:cs="Times New Roman"/>
          <w:b/>
          <w:sz w:val="28"/>
          <w:szCs w:val="20"/>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54"/>
        <w:numPr>
          <w:ilvl w:val="0"/>
          <w:numId w:val="11"/>
        </w:numPr>
        <w:spacing w:line="360" w:lineRule="auto"/>
        <w:ind w:left="425" w:leftChars="0" w:hanging="425"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eastAsia="zh-CN"/>
        </w:rPr>
        <w:t>试剂</w:t>
      </w:r>
      <w:r>
        <w:rPr>
          <w:rFonts w:hint="eastAsia" w:ascii="宋体" w:hAnsi="宋体" w:eastAsia="宋体" w:cs="宋体"/>
          <w:sz w:val="24"/>
          <w:szCs w:val="24"/>
        </w:rPr>
        <w:t>用途</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lang w:val="en-US" w:eastAsia="zh-CN" w:bidi="ar"/>
        </w:rPr>
        <w:t>有助于区分病人在经抗病毒治疗后，免疫细胞数量增加是由于外周血中现有淋巴细胞亚群扩增而产生的纯真和记忆细胞还是胸腺增生和增殖的免疫重建</w:t>
      </w:r>
    </w:p>
    <w:p>
      <w:pPr>
        <w:pStyle w:val="54"/>
        <w:numPr>
          <w:ilvl w:val="0"/>
          <w:numId w:val="11"/>
        </w:numPr>
        <w:spacing w:line="360" w:lineRule="auto"/>
        <w:ind w:left="425" w:leftChars="0" w:hanging="425"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b w:val="0"/>
          <w:bCs w:val="0"/>
          <w:kern w:val="2"/>
          <w:sz w:val="24"/>
          <w:szCs w:val="24"/>
          <w:lang w:val="en-US" w:eastAsia="zh-CN" w:bidi="ar-SA"/>
        </w:rPr>
        <w:t>样本类型：骨髓、全血（EDTA抗凝）</w:t>
      </w:r>
    </w:p>
    <w:p>
      <w:pPr>
        <w:numPr>
          <w:ilvl w:val="0"/>
          <w:numId w:val="11"/>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sz w:val="24"/>
          <w:szCs w:val="24"/>
          <w:lang w:eastAsia="zh-CN"/>
        </w:rPr>
        <w:t>检测指标：至少包含</w:t>
      </w:r>
      <w:r>
        <w:rPr>
          <w:rFonts w:hint="eastAsia" w:ascii="宋体" w:hAnsi="宋体" w:eastAsia="宋体" w:cs="宋体"/>
          <w:sz w:val="24"/>
          <w:szCs w:val="24"/>
          <w:lang w:val="en-US" w:eastAsia="zh-CN"/>
        </w:rPr>
        <w:t>CD4、CD45、CD45RA、CD3、CD8、HLA-DR、CD56、CD14、CD28、CD38、CD45RO、CD16</w:t>
      </w:r>
    </w:p>
    <w:p>
      <w:pPr>
        <w:keepNext w:val="0"/>
        <w:keepLines w:val="0"/>
        <w:widowControl/>
        <w:numPr>
          <w:ilvl w:val="0"/>
          <w:numId w:val="11"/>
        </w:numPr>
        <w:suppressLineNumbers w:val="0"/>
        <w:spacing w:line="360" w:lineRule="auto"/>
        <w:ind w:left="425" w:leftChars="0" w:hanging="425" w:firstLineChars="0"/>
        <w:jc w:val="left"/>
        <w:rPr>
          <w:rFonts w:hint="eastAsia" w:ascii="宋体" w:hAnsi="宋体" w:eastAsia="宋体" w:cs="宋体"/>
          <w:sz w:val="24"/>
          <w:szCs w:val="24"/>
        </w:rPr>
      </w:pPr>
      <w:r>
        <w:rPr>
          <w:rFonts w:hint="eastAsia" w:ascii="宋体" w:hAnsi="宋体" w:eastAsia="宋体" w:cs="宋体"/>
          <w:b w:val="0"/>
          <w:bCs w:val="0"/>
          <w:kern w:val="2"/>
          <w:sz w:val="24"/>
          <w:szCs w:val="24"/>
          <w:lang w:val="en-US" w:eastAsia="zh-CN" w:bidi="ar-SA"/>
        </w:rPr>
        <w:t>准确性：</w:t>
      </w:r>
      <w:r>
        <w:rPr>
          <w:rFonts w:hint="eastAsia" w:ascii="宋体" w:hAnsi="宋体" w:eastAsia="宋体" w:cs="宋体"/>
          <w:sz w:val="24"/>
          <w:szCs w:val="24"/>
        </w:rPr>
        <w:t>符合《中华人民共和国医药行业标准YY/T 1184-2010 流式细胞仪用单克隆抗体试剂》要求， 抗原相对计数结果，无统计学差异（P≥0.05）</w:t>
      </w:r>
    </w:p>
    <w:p>
      <w:pPr>
        <w:numPr>
          <w:ilvl w:val="0"/>
          <w:numId w:val="11"/>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精密度：</w:t>
      </w:r>
      <w:r>
        <w:rPr>
          <w:rFonts w:hint="eastAsia" w:ascii="宋体" w:hAnsi="宋体" w:eastAsia="宋体" w:cs="宋体"/>
          <w:sz w:val="24"/>
          <w:szCs w:val="24"/>
        </w:rPr>
        <w:t>不同批次试剂检测结果变异系数不大于8%</w:t>
      </w:r>
    </w:p>
    <w:p>
      <w:pPr>
        <w:keepNext w:val="0"/>
        <w:keepLines w:val="0"/>
        <w:widowControl/>
        <w:numPr>
          <w:ilvl w:val="0"/>
          <w:numId w:val="11"/>
        </w:numPr>
        <w:suppressLineNumbers w:val="0"/>
        <w:spacing w:line="360" w:lineRule="auto"/>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rPr>
        <w:t>运输条件</w:t>
      </w:r>
      <w:r>
        <w:rPr>
          <w:rFonts w:hint="eastAsia" w:ascii="宋体" w:hAnsi="宋体" w:eastAsia="宋体" w:cs="宋体"/>
          <w:sz w:val="24"/>
          <w:szCs w:val="24"/>
          <w:lang w:eastAsia="zh-CN"/>
        </w:rPr>
        <w:t>：</w:t>
      </w:r>
      <w:r>
        <w:rPr>
          <w:rFonts w:hint="eastAsia" w:ascii="宋体" w:hAnsi="宋体" w:eastAsia="宋体" w:cs="宋体"/>
          <w:sz w:val="24"/>
          <w:szCs w:val="24"/>
        </w:rPr>
        <w:t>要求具有冷链运输，提供冷链运输说明</w:t>
      </w:r>
    </w:p>
    <w:p>
      <w:pPr>
        <w:pStyle w:val="54"/>
        <w:widowControl w:val="0"/>
        <w:numPr>
          <w:ilvl w:val="0"/>
          <w:numId w:val="11"/>
        </w:numPr>
        <w:spacing w:line="360" w:lineRule="auto"/>
        <w:ind w:left="425" w:leftChars="0" w:hanging="425" w:firstLineChars="0"/>
        <w:jc w:val="both"/>
        <w:rPr>
          <w:rFonts w:hint="eastAsia" w:ascii="宋体" w:hAnsi="宋体" w:eastAsia="宋体" w:cs="宋体"/>
          <w:sz w:val="24"/>
          <w:szCs w:val="24"/>
          <w:lang w:eastAsia="zh-CN"/>
        </w:rPr>
      </w:pPr>
      <w:r>
        <w:rPr>
          <w:rFonts w:hint="eastAsia" w:ascii="宋体" w:hAnsi="宋体" w:eastAsia="宋体" w:cs="宋体"/>
          <w:b w:val="0"/>
          <w:bCs w:val="0"/>
          <w:sz w:val="24"/>
          <w:szCs w:val="24"/>
        </w:rPr>
        <w:t>★</w:t>
      </w:r>
      <w:r>
        <w:rPr>
          <w:rFonts w:hint="eastAsia" w:ascii="宋体" w:hAnsi="宋体" w:eastAsia="宋体" w:cs="宋体"/>
          <w:sz w:val="24"/>
          <w:szCs w:val="24"/>
          <w:lang w:eastAsia="zh-CN"/>
        </w:rPr>
        <w:t>生产</w:t>
      </w:r>
      <w:r>
        <w:rPr>
          <w:rFonts w:hint="eastAsia" w:ascii="宋体" w:hAnsi="宋体" w:eastAsia="宋体" w:cs="宋体"/>
          <w:sz w:val="24"/>
          <w:szCs w:val="24"/>
        </w:rPr>
        <w:t>有效期</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个月</w:t>
      </w:r>
    </w:p>
    <w:p>
      <w:pPr>
        <w:pStyle w:val="54"/>
        <w:widowControl w:val="0"/>
        <w:numPr>
          <w:ilvl w:val="0"/>
          <w:numId w:val="11"/>
        </w:numPr>
        <w:spacing w:line="360" w:lineRule="auto"/>
        <w:ind w:left="425" w:leftChars="0" w:hanging="425" w:firstLineChars="0"/>
        <w:jc w:val="both"/>
        <w:rPr>
          <w:rFonts w:hint="eastAsia" w:ascii="宋体" w:hAnsi="宋体" w:eastAsia="宋体" w:cs="宋体"/>
          <w:sz w:val="24"/>
          <w:szCs w:val="24"/>
        </w:rPr>
      </w:pPr>
      <w:r>
        <w:rPr>
          <w:rFonts w:hint="eastAsia" w:ascii="宋体" w:hAnsi="宋体" w:eastAsia="宋体" w:cs="宋体"/>
          <w:sz w:val="24"/>
          <w:szCs w:val="24"/>
          <w:lang w:eastAsia="zh-CN"/>
        </w:rPr>
        <w:t>入库有效期：</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个月</w:t>
      </w:r>
    </w:p>
    <w:p>
      <w:pPr>
        <w:numPr>
          <w:ilvl w:val="0"/>
          <w:numId w:val="11"/>
        </w:numPr>
        <w:spacing w:line="360" w:lineRule="auto"/>
        <w:ind w:left="425" w:leftChars="0" w:hanging="425" w:firstLineChars="0"/>
        <w:rPr>
          <w:rFonts w:hint="eastAsia" w:ascii="宋体" w:hAnsi="宋体" w:eastAsia="宋体" w:cs="宋体"/>
          <w:sz w:val="24"/>
          <w:szCs w:val="24"/>
          <w:lang w:val="en-US"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包件五：</w:t>
      </w:r>
    </w:p>
    <w:p>
      <w:pPr>
        <w:pStyle w:val="54"/>
        <w:numPr>
          <w:ilvl w:val="0"/>
          <w:numId w:val="12"/>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项目</w:t>
      </w:r>
      <w:r>
        <w:rPr>
          <w:rFonts w:hint="eastAsia" w:ascii="宋体" w:hAnsi="宋体" w:eastAsia="宋体" w:cs="Times New Roman"/>
          <w:b w:val="0"/>
          <w:bCs w:val="0"/>
          <w:sz w:val="24"/>
          <w:szCs w:val="24"/>
        </w:rPr>
        <w:t>名</w:t>
      </w:r>
      <w:r>
        <w:rPr>
          <w:rFonts w:hint="eastAsia" w:ascii="宋体" w:hAnsi="宋体" w:eastAsia="宋体" w:cs="宋体"/>
          <w:b w:val="0"/>
          <w:bCs w:val="0"/>
          <w:sz w:val="24"/>
          <w:szCs w:val="24"/>
        </w:rPr>
        <w:t>称：</w:t>
      </w:r>
      <w:r>
        <w:rPr>
          <w:rFonts w:hint="eastAsia" w:ascii="宋体" w:hAnsi="宋体" w:eastAsia="宋体"/>
          <w:b w:val="0"/>
          <w:bCs w:val="0"/>
          <w:sz w:val="24"/>
          <w:szCs w:val="24"/>
          <w:lang w:val="en-US" w:eastAsia="zh-CN"/>
        </w:rPr>
        <w:t>MDSC髓系抑制细胞检测</w:t>
      </w:r>
    </w:p>
    <w:p>
      <w:pPr>
        <w:pStyle w:val="54"/>
        <w:numPr>
          <w:ilvl w:val="0"/>
          <w:numId w:val="12"/>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12"/>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12"/>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numPr>
          <w:ilvl w:val="0"/>
          <w:numId w:val="12"/>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54"/>
        <w:numPr>
          <w:ilvl w:val="0"/>
          <w:numId w:val="13"/>
        </w:numPr>
        <w:spacing w:line="360" w:lineRule="auto"/>
        <w:ind w:left="425" w:leftChars="0" w:hanging="425"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试剂用途：通过抑制效应 T 细胞介导肿瘤免疫逃逸、促进肿瘤生长，减弱机体对肿瘤细胞的杀伤作用。MDSC 的高表达与癌症患者的总体生存率成显著负相关性</w:t>
      </w:r>
    </w:p>
    <w:p>
      <w:pPr>
        <w:pStyle w:val="54"/>
        <w:numPr>
          <w:ilvl w:val="0"/>
          <w:numId w:val="13"/>
        </w:numPr>
        <w:spacing w:line="360" w:lineRule="auto"/>
        <w:ind w:left="425" w:leftChars="0" w:hanging="425"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样本类型：骨髓、全血（EDTA抗凝）</w:t>
      </w:r>
    </w:p>
    <w:p>
      <w:pPr>
        <w:pStyle w:val="54"/>
        <w:numPr>
          <w:ilvl w:val="0"/>
          <w:numId w:val="13"/>
        </w:numPr>
        <w:spacing w:line="360" w:lineRule="auto"/>
        <w:ind w:left="425" w:leftChars="0" w:hanging="425"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★检测指标：至少包含CD15、CD14、CD33、CD11b</w:t>
      </w:r>
    </w:p>
    <w:p>
      <w:pPr>
        <w:pStyle w:val="54"/>
        <w:numPr>
          <w:ilvl w:val="0"/>
          <w:numId w:val="13"/>
        </w:numPr>
        <w:spacing w:line="360" w:lineRule="auto"/>
        <w:ind w:left="425" w:leftChars="0" w:hanging="425"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准确性：符合《中华人民共和国医药行业标准YY/T 1184-2010 流式细胞仪用单克隆抗体试剂》要求， 抗原相对计数结果，无统计学差异（P≥0.05）</w:t>
      </w:r>
    </w:p>
    <w:p>
      <w:pPr>
        <w:pStyle w:val="54"/>
        <w:numPr>
          <w:ilvl w:val="0"/>
          <w:numId w:val="13"/>
        </w:numPr>
        <w:spacing w:line="360" w:lineRule="auto"/>
        <w:ind w:left="425" w:leftChars="0" w:hanging="425"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精密度：不同批次试剂检测结果变异系数不大于8%</w:t>
      </w:r>
    </w:p>
    <w:p>
      <w:pPr>
        <w:pStyle w:val="54"/>
        <w:numPr>
          <w:ilvl w:val="0"/>
          <w:numId w:val="13"/>
        </w:numPr>
        <w:spacing w:line="360" w:lineRule="auto"/>
        <w:ind w:left="425" w:leftChars="0" w:hanging="425"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运输条件：要求具有冷链运输，提供冷链运输说明</w:t>
      </w:r>
    </w:p>
    <w:p>
      <w:pPr>
        <w:pStyle w:val="54"/>
        <w:numPr>
          <w:ilvl w:val="0"/>
          <w:numId w:val="13"/>
        </w:numPr>
        <w:spacing w:line="360" w:lineRule="auto"/>
        <w:ind w:left="425" w:leftChars="0" w:hanging="425"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★生产有效期：≥6个月</w:t>
      </w:r>
    </w:p>
    <w:p>
      <w:pPr>
        <w:pStyle w:val="54"/>
        <w:numPr>
          <w:ilvl w:val="0"/>
          <w:numId w:val="13"/>
        </w:numPr>
        <w:spacing w:line="360" w:lineRule="auto"/>
        <w:ind w:left="425" w:leftChars="0" w:hanging="425"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入库有效期：≥3个月</w:t>
      </w:r>
    </w:p>
    <w:p>
      <w:pPr>
        <w:pStyle w:val="54"/>
        <w:numPr>
          <w:ilvl w:val="0"/>
          <w:numId w:val="13"/>
        </w:numPr>
        <w:spacing w:line="360" w:lineRule="auto"/>
        <w:ind w:left="425" w:leftChars="0" w:hanging="425" w:firstLineChars="0"/>
        <w:rPr>
          <w:rFonts w:hint="eastAsia" w:ascii="宋体" w:hAnsi="宋体" w:eastAsia="宋体"/>
          <w:b w:val="0"/>
          <w:bCs w:val="0"/>
          <w:sz w:val="24"/>
          <w:szCs w:val="24"/>
          <w:lang w:eastAsia="zh-CN"/>
        </w:rPr>
      </w:pPr>
      <w:r>
        <w:rPr>
          <w:rFonts w:hint="eastAsia" w:ascii="宋体" w:hAnsi="宋体" w:eastAsia="宋体" w:cs="宋体"/>
          <w:color w:val="000000"/>
          <w:kern w:val="0"/>
          <w:sz w:val="24"/>
          <w:szCs w:val="24"/>
          <w:lang w:val="en-US" w:eastAsia="zh-CN" w:bidi="ar"/>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hint="eastAsia" w:ascii="宋体" w:hAnsi="宋体" w:eastAsia="宋体"/>
          <w:b w:val="0"/>
          <w:bCs w:val="0"/>
          <w:sz w:val="24"/>
          <w:szCs w:val="24"/>
          <w:lang w:eastAsia="zh-CN"/>
        </w:rPr>
      </w:pPr>
    </w:p>
    <w:p>
      <w:pPr>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8" w:name="_Hlk72236197"/>
      <w:r>
        <w:rPr>
          <w:rFonts w:hint="eastAsia" w:ascii="宋体" w:hAnsi="宋体" w:eastAsia="宋体" w:cs="Times New Roman"/>
          <w:sz w:val="24"/>
          <w:szCs w:val="20"/>
        </w:rPr>
        <w:t>上海市中医医院</w:t>
      </w:r>
      <w:bookmarkEnd w:id="18"/>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cols w:space="425" w:num="1"/>
        </w:sectPr>
      </w:pPr>
      <w:r>
        <w:rPr>
          <w:rFonts w:hint="eastAsia" w:ascii="宋体" w:hAnsi="宋体" w:eastAsia="宋体" w:cs="Times New Roman"/>
          <w:sz w:val="24"/>
          <w:szCs w:val="20"/>
        </w:rPr>
        <w:t>公章：________________________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9" w:name="_Toc11326097"/>
      <w:r>
        <w:rPr>
          <w:rFonts w:hint="eastAsia" w:ascii="宋体" w:hAnsi="宋体" w:eastAsia="宋体" w:cs="Times New Roman"/>
          <w:b/>
          <w:sz w:val="28"/>
          <w:szCs w:val="20"/>
        </w:rPr>
        <w:t>附件2：无行贿犯罪记录声明函（格式）</w:t>
      </w:r>
      <w:bookmarkEnd w:id="19"/>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7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E91A2"/>
    <w:multiLevelType w:val="singleLevel"/>
    <w:tmpl w:val="A20E91A2"/>
    <w:lvl w:ilvl="0" w:tentative="0">
      <w:start w:val="4"/>
      <w:numFmt w:val="chineseCounting"/>
      <w:suff w:val="space"/>
      <w:lvlText w:val="第%1章"/>
      <w:lvlJc w:val="left"/>
      <w:rPr>
        <w:rFonts w:hint="eastAsia"/>
        <w:lang w:val="en-US"/>
      </w:rPr>
    </w:lvl>
  </w:abstractNum>
  <w:abstractNum w:abstractNumId="1">
    <w:nsid w:val="AF190175"/>
    <w:multiLevelType w:val="singleLevel"/>
    <w:tmpl w:val="AF190175"/>
    <w:lvl w:ilvl="0" w:tentative="0">
      <w:start w:val="1"/>
      <w:numFmt w:val="decimal"/>
      <w:lvlText w:val="%1."/>
      <w:lvlJc w:val="left"/>
      <w:pPr>
        <w:ind w:left="425" w:hanging="425"/>
      </w:pPr>
      <w:rPr>
        <w:rFonts w:hint="default"/>
      </w:rPr>
    </w:lvl>
  </w:abstractNum>
  <w:abstractNum w:abstractNumId="2">
    <w:nsid w:val="B4BEB4AB"/>
    <w:multiLevelType w:val="singleLevel"/>
    <w:tmpl w:val="B4BEB4AB"/>
    <w:lvl w:ilvl="0" w:tentative="0">
      <w:start w:val="1"/>
      <w:numFmt w:val="chineseCounting"/>
      <w:suff w:val="nothing"/>
      <w:lvlText w:val="%1、"/>
      <w:lvlJc w:val="left"/>
      <w:pPr>
        <w:ind w:left="-420" w:firstLine="420"/>
      </w:pPr>
      <w:rPr>
        <w:rFonts w:hint="eastAsia"/>
        <w:b w:val="0"/>
        <w:bCs w:val="0"/>
      </w:rPr>
    </w:lvl>
  </w:abstractNum>
  <w:abstractNum w:abstractNumId="3">
    <w:nsid w:val="CD1FD12B"/>
    <w:multiLevelType w:val="singleLevel"/>
    <w:tmpl w:val="CD1FD12B"/>
    <w:lvl w:ilvl="0" w:tentative="0">
      <w:start w:val="1"/>
      <w:numFmt w:val="chineseCounting"/>
      <w:suff w:val="nothing"/>
      <w:lvlText w:val="%1、"/>
      <w:lvlJc w:val="left"/>
      <w:pPr>
        <w:ind w:left="0" w:firstLine="420"/>
      </w:pPr>
      <w:rPr>
        <w:rFonts w:hint="eastAsia"/>
      </w:rPr>
    </w:lvl>
  </w:abstractNum>
  <w:abstractNum w:abstractNumId="4">
    <w:nsid w:val="CD42E90B"/>
    <w:multiLevelType w:val="singleLevel"/>
    <w:tmpl w:val="CD42E90B"/>
    <w:lvl w:ilvl="0" w:tentative="0">
      <w:start w:val="2"/>
      <w:numFmt w:val="decimal"/>
      <w:suff w:val="nothing"/>
      <w:lvlText w:val="（%1）"/>
      <w:lvlJc w:val="left"/>
    </w:lvl>
  </w:abstractNum>
  <w:abstractNum w:abstractNumId="5">
    <w:nsid w:val="E2EC14A9"/>
    <w:multiLevelType w:val="singleLevel"/>
    <w:tmpl w:val="E2EC14A9"/>
    <w:lvl w:ilvl="0" w:tentative="0">
      <w:start w:val="1"/>
      <w:numFmt w:val="chineseCounting"/>
      <w:suff w:val="nothing"/>
      <w:lvlText w:val="%1、"/>
      <w:lvlJc w:val="left"/>
      <w:pPr>
        <w:ind w:left="0" w:firstLine="420"/>
      </w:pPr>
      <w:rPr>
        <w:rFonts w:hint="eastAsia" w:ascii="宋体" w:hAnsi="宋体" w:eastAsia="宋体" w:cs="宋体"/>
        <w:b w:val="0"/>
        <w:bCs w:val="0"/>
        <w:sz w:val="24"/>
        <w:szCs w:val="24"/>
      </w:rPr>
    </w:lvl>
  </w:abstractNum>
  <w:abstractNum w:abstractNumId="6">
    <w:nsid w:val="E6A713C3"/>
    <w:multiLevelType w:val="singleLevel"/>
    <w:tmpl w:val="E6A713C3"/>
    <w:lvl w:ilvl="0" w:tentative="0">
      <w:start w:val="1"/>
      <w:numFmt w:val="decimal"/>
      <w:lvlText w:val="%1."/>
      <w:lvlJc w:val="left"/>
      <w:pPr>
        <w:ind w:left="425" w:hanging="425"/>
      </w:pPr>
      <w:rPr>
        <w:rFonts w:hint="default"/>
      </w:rPr>
    </w:lvl>
  </w:abstractNum>
  <w:abstractNum w:abstractNumId="7">
    <w:nsid w:val="05F82F35"/>
    <w:multiLevelType w:val="singleLevel"/>
    <w:tmpl w:val="05F82F35"/>
    <w:lvl w:ilvl="0" w:tentative="0">
      <w:start w:val="1"/>
      <w:numFmt w:val="chineseCounting"/>
      <w:suff w:val="nothing"/>
      <w:lvlText w:val="%1、"/>
      <w:lvlJc w:val="left"/>
      <w:pPr>
        <w:ind w:left="0" w:firstLine="420"/>
      </w:pPr>
      <w:rPr>
        <w:rFonts w:hint="eastAsia"/>
      </w:rPr>
    </w:lvl>
  </w:abstractNum>
  <w:abstractNum w:abstractNumId="8">
    <w:nsid w:val="1CED4591"/>
    <w:multiLevelType w:val="singleLevel"/>
    <w:tmpl w:val="1CED4591"/>
    <w:lvl w:ilvl="0" w:tentative="0">
      <w:start w:val="1"/>
      <w:numFmt w:val="chineseCounting"/>
      <w:suff w:val="nothing"/>
      <w:lvlText w:val="%1、"/>
      <w:lvlJc w:val="left"/>
      <w:pPr>
        <w:ind w:left="0" w:firstLine="420"/>
      </w:pPr>
      <w:rPr>
        <w:rFonts w:hint="eastAsia"/>
      </w:rPr>
    </w:lvl>
  </w:abstractNum>
  <w:abstractNum w:abstractNumId="9">
    <w:nsid w:val="257B681D"/>
    <w:multiLevelType w:val="singleLevel"/>
    <w:tmpl w:val="257B681D"/>
    <w:lvl w:ilvl="0" w:tentative="0">
      <w:start w:val="1"/>
      <w:numFmt w:val="decimal"/>
      <w:lvlText w:val="%1."/>
      <w:lvlJc w:val="left"/>
      <w:pPr>
        <w:ind w:left="425" w:hanging="425"/>
      </w:pPr>
      <w:rPr>
        <w:rFonts w:hint="default"/>
      </w:rPr>
    </w:lvl>
  </w:abstractNum>
  <w:abstractNum w:abstractNumId="10">
    <w:nsid w:val="57FB7DDC"/>
    <w:multiLevelType w:val="multilevel"/>
    <w:tmpl w:val="57FB7DDC"/>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1">
    <w:nsid w:val="5A6B19E3"/>
    <w:multiLevelType w:val="singleLevel"/>
    <w:tmpl w:val="5A6B19E3"/>
    <w:lvl w:ilvl="0" w:tentative="0">
      <w:start w:val="1"/>
      <w:numFmt w:val="decimal"/>
      <w:lvlText w:val="%1."/>
      <w:lvlJc w:val="left"/>
      <w:pPr>
        <w:ind w:left="425" w:hanging="425"/>
      </w:pPr>
      <w:rPr>
        <w:rFonts w:hint="default"/>
      </w:rPr>
    </w:lvl>
  </w:abstractNum>
  <w:abstractNum w:abstractNumId="12">
    <w:nsid w:val="7E08FDD0"/>
    <w:multiLevelType w:val="singleLevel"/>
    <w:tmpl w:val="7E08FDD0"/>
    <w:lvl w:ilvl="0" w:tentative="0">
      <w:start w:val="1"/>
      <w:numFmt w:val="decimal"/>
      <w:lvlText w:val="%1."/>
      <w:lvlJc w:val="left"/>
      <w:pPr>
        <w:ind w:left="425" w:hanging="425"/>
      </w:pPr>
      <w:rPr>
        <w:rFonts w:hint="default"/>
      </w:rPr>
    </w:lvl>
  </w:abstractNum>
  <w:num w:numId="1">
    <w:abstractNumId w:val="10"/>
  </w:num>
  <w:num w:numId="2">
    <w:abstractNumId w:val="4"/>
  </w:num>
  <w:num w:numId="3">
    <w:abstractNumId w:val="0"/>
  </w:num>
  <w:num w:numId="4">
    <w:abstractNumId w:val="2"/>
  </w:num>
  <w:num w:numId="5">
    <w:abstractNumId w:val="6"/>
  </w:num>
  <w:num w:numId="6">
    <w:abstractNumId w:val="3"/>
  </w:num>
  <w:num w:numId="7">
    <w:abstractNumId w:val="12"/>
  </w:num>
  <w:num w:numId="8">
    <w:abstractNumId w:val="8"/>
  </w:num>
  <w:num w:numId="9">
    <w:abstractNumId w:val="9"/>
  </w:num>
  <w:num w:numId="10">
    <w:abstractNumId w:val="5"/>
  </w:num>
  <w:num w:numId="11">
    <w:abstractNumId w:val="11"/>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ZWVhNGNiN2Q0NGQxYTM5NDI5ZjE1NmI5N2I5NGY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520D2"/>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5A163A"/>
    <w:rsid w:val="01DA343F"/>
    <w:rsid w:val="037F0B26"/>
    <w:rsid w:val="05333456"/>
    <w:rsid w:val="059503E5"/>
    <w:rsid w:val="05D709B3"/>
    <w:rsid w:val="06710E08"/>
    <w:rsid w:val="07C20BED"/>
    <w:rsid w:val="08FD6983"/>
    <w:rsid w:val="0A7753AE"/>
    <w:rsid w:val="0BDF2CAF"/>
    <w:rsid w:val="0BF00DA4"/>
    <w:rsid w:val="0EF02652"/>
    <w:rsid w:val="0FFD6BE5"/>
    <w:rsid w:val="126A0881"/>
    <w:rsid w:val="129544B2"/>
    <w:rsid w:val="139C0D9D"/>
    <w:rsid w:val="13E44EDE"/>
    <w:rsid w:val="19530D66"/>
    <w:rsid w:val="19BC5BE6"/>
    <w:rsid w:val="19DC576F"/>
    <w:rsid w:val="1A355C22"/>
    <w:rsid w:val="1A5F06D7"/>
    <w:rsid w:val="1B09545F"/>
    <w:rsid w:val="1C7C757C"/>
    <w:rsid w:val="1DBB4EF2"/>
    <w:rsid w:val="1DBC650F"/>
    <w:rsid w:val="1E4F1A12"/>
    <w:rsid w:val="1FDF00BD"/>
    <w:rsid w:val="206F557C"/>
    <w:rsid w:val="21CA6472"/>
    <w:rsid w:val="22AA393E"/>
    <w:rsid w:val="23276141"/>
    <w:rsid w:val="24161FB7"/>
    <w:rsid w:val="2458229A"/>
    <w:rsid w:val="2464469F"/>
    <w:rsid w:val="24C25007"/>
    <w:rsid w:val="25043F40"/>
    <w:rsid w:val="25ED784B"/>
    <w:rsid w:val="25F11009"/>
    <w:rsid w:val="262A7ACF"/>
    <w:rsid w:val="271D349F"/>
    <w:rsid w:val="277C62E7"/>
    <w:rsid w:val="2B2963D3"/>
    <w:rsid w:val="2E095F27"/>
    <w:rsid w:val="2E287082"/>
    <w:rsid w:val="2E6E18BF"/>
    <w:rsid w:val="2E884201"/>
    <w:rsid w:val="2F2C5770"/>
    <w:rsid w:val="2F535254"/>
    <w:rsid w:val="30F42D44"/>
    <w:rsid w:val="331367BC"/>
    <w:rsid w:val="34EE008B"/>
    <w:rsid w:val="352B33FC"/>
    <w:rsid w:val="35805CB4"/>
    <w:rsid w:val="36CA3141"/>
    <w:rsid w:val="37C130EE"/>
    <w:rsid w:val="38593614"/>
    <w:rsid w:val="390B2228"/>
    <w:rsid w:val="39301A51"/>
    <w:rsid w:val="3A4103F8"/>
    <w:rsid w:val="3BF15DAC"/>
    <w:rsid w:val="3D6A45ED"/>
    <w:rsid w:val="3DA4759C"/>
    <w:rsid w:val="3DFE745B"/>
    <w:rsid w:val="3E2B711B"/>
    <w:rsid w:val="3E2D1012"/>
    <w:rsid w:val="3E48145F"/>
    <w:rsid w:val="3F734081"/>
    <w:rsid w:val="409018AF"/>
    <w:rsid w:val="40E94034"/>
    <w:rsid w:val="412709D8"/>
    <w:rsid w:val="41627833"/>
    <w:rsid w:val="416D419A"/>
    <w:rsid w:val="421443FB"/>
    <w:rsid w:val="427239F0"/>
    <w:rsid w:val="433472CD"/>
    <w:rsid w:val="43426C26"/>
    <w:rsid w:val="44C60E76"/>
    <w:rsid w:val="44E76487"/>
    <w:rsid w:val="4535060E"/>
    <w:rsid w:val="469B3D4F"/>
    <w:rsid w:val="473A03ED"/>
    <w:rsid w:val="49B25227"/>
    <w:rsid w:val="4B863339"/>
    <w:rsid w:val="4BA42333"/>
    <w:rsid w:val="4CEE1CF2"/>
    <w:rsid w:val="4D25098E"/>
    <w:rsid w:val="4D77632F"/>
    <w:rsid w:val="4E7C3473"/>
    <w:rsid w:val="4FB81DC2"/>
    <w:rsid w:val="501778F7"/>
    <w:rsid w:val="50CF0D56"/>
    <w:rsid w:val="52C021AE"/>
    <w:rsid w:val="5371335C"/>
    <w:rsid w:val="5389510F"/>
    <w:rsid w:val="54643684"/>
    <w:rsid w:val="54BD39A2"/>
    <w:rsid w:val="56E97E3E"/>
    <w:rsid w:val="59A549DC"/>
    <w:rsid w:val="5BB838A1"/>
    <w:rsid w:val="5CDE5CFF"/>
    <w:rsid w:val="5CF501E7"/>
    <w:rsid w:val="5E4E4400"/>
    <w:rsid w:val="5E5E67D4"/>
    <w:rsid w:val="5EAC2763"/>
    <w:rsid w:val="60BA47AE"/>
    <w:rsid w:val="61E26848"/>
    <w:rsid w:val="63B05371"/>
    <w:rsid w:val="63D92820"/>
    <w:rsid w:val="63E1229E"/>
    <w:rsid w:val="64917820"/>
    <w:rsid w:val="6688474A"/>
    <w:rsid w:val="67C41429"/>
    <w:rsid w:val="685F15E7"/>
    <w:rsid w:val="690540BF"/>
    <w:rsid w:val="698F11EF"/>
    <w:rsid w:val="699B0761"/>
    <w:rsid w:val="6A0856B9"/>
    <w:rsid w:val="6A664098"/>
    <w:rsid w:val="6C146FEA"/>
    <w:rsid w:val="6CE12E64"/>
    <w:rsid w:val="6CEA0C57"/>
    <w:rsid w:val="6D024D8C"/>
    <w:rsid w:val="6ECC7A0D"/>
    <w:rsid w:val="709F0097"/>
    <w:rsid w:val="70EA395C"/>
    <w:rsid w:val="71C45194"/>
    <w:rsid w:val="7397006E"/>
    <w:rsid w:val="740D6797"/>
    <w:rsid w:val="748B756C"/>
    <w:rsid w:val="75CC49D7"/>
    <w:rsid w:val="76C539AC"/>
    <w:rsid w:val="77C35AEB"/>
    <w:rsid w:val="79715BD1"/>
    <w:rsid w:val="7A5944E4"/>
    <w:rsid w:val="7C3A20F4"/>
    <w:rsid w:val="7CA25B04"/>
    <w:rsid w:val="7DD03920"/>
    <w:rsid w:val="7DF33D62"/>
    <w:rsid w:val="7ED90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2"/>
    <w:qFormat/>
    <w:uiPriority w:val="0"/>
    <w:rPr>
      <w:rFonts w:ascii="宋体" w:hAnsi="Times New Roman" w:eastAsia="宋体" w:cs="Times New Roman"/>
      <w:sz w:val="18"/>
      <w:szCs w:val="18"/>
    </w:rPr>
  </w:style>
  <w:style w:type="paragraph" w:styleId="13">
    <w:name w:val="annotation text"/>
    <w:basedOn w:val="1"/>
    <w:link w:val="125"/>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5"/>
    <w:qFormat/>
    <w:uiPriority w:val="0"/>
    <w:rPr>
      <w:rFonts w:ascii="Times New Roman" w:hAnsi="Times New Roman" w:eastAsia="宋体" w:cs="Times New Roman"/>
      <w:sz w:val="48"/>
      <w:szCs w:val="48"/>
    </w:rPr>
  </w:style>
  <w:style w:type="paragraph" w:styleId="15">
    <w:name w:val="Body Text"/>
    <w:basedOn w:val="1"/>
    <w:link w:val="102"/>
    <w:qFormat/>
    <w:uiPriority w:val="0"/>
    <w:pPr>
      <w:spacing w:after="120"/>
    </w:pPr>
    <w:rPr>
      <w:rFonts w:ascii="Times New Roman" w:hAnsi="Times New Roman" w:eastAsia="宋体" w:cs="Times New Roman"/>
      <w:szCs w:val="20"/>
    </w:rPr>
  </w:style>
  <w:style w:type="paragraph" w:styleId="16">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1"/>
    <w:qFormat/>
    <w:uiPriority w:val="0"/>
    <w:rPr>
      <w:rFonts w:ascii="宋体" w:hAnsi="Courier New" w:eastAsia="宋体" w:cs="Times New Roman"/>
      <w:szCs w:val="20"/>
    </w:rPr>
  </w:style>
  <w:style w:type="paragraph" w:styleId="19">
    <w:name w:val="Date"/>
    <w:basedOn w:val="1"/>
    <w:next w:val="1"/>
    <w:link w:val="52"/>
    <w:qFormat/>
    <w:uiPriority w:val="0"/>
    <w:rPr>
      <w:rFonts w:ascii="宋体" w:hAnsi="Times New Roman" w:eastAsia="宋体" w:cs="Times New Roman"/>
      <w:b/>
      <w:sz w:val="36"/>
      <w:szCs w:val="20"/>
    </w:rPr>
  </w:style>
  <w:style w:type="paragraph" w:styleId="20">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0"/>
    <w:semiHidden/>
    <w:qFormat/>
    <w:uiPriority w:val="0"/>
    <w:rPr>
      <w:rFonts w:ascii="Times New Roman" w:hAnsi="Times New Roman" w:eastAsia="宋体" w:cs="Times New Roman"/>
      <w:sz w:val="18"/>
      <w:szCs w:val="18"/>
    </w:rPr>
  </w:style>
  <w:style w:type="paragraph" w:styleId="22">
    <w:name w:val="footer"/>
    <w:basedOn w:val="1"/>
    <w:link w:val="40"/>
    <w:unhideWhenUsed/>
    <w:qFormat/>
    <w:uiPriority w:val="99"/>
    <w:pPr>
      <w:tabs>
        <w:tab w:val="center" w:pos="4153"/>
        <w:tab w:val="right" w:pos="8306"/>
      </w:tabs>
      <w:snapToGrid w:val="0"/>
      <w:jc w:val="left"/>
    </w:pPr>
    <w:rPr>
      <w:sz w:val="18"/>
      <w:szCs w:val="18"/>
    </w:rPr>
  </w:style>
  <w:style w:type="paragraph" w:styleId="2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5"/>
    <w:qFormat/>
    <w:uiPriority w:val="0"/>
    <w:pPr>
      <w:jc w:val="center"/>
    </w:pPr>
    <w:rPr>
      <w:rFonts w:ascii="楷体_GB2312" w:hAnsi="Times New Roman" w:eastAsia="楷体_GB2312" w:cs="Times New Roman"/>
      <w:b/>
      <w:sz w:val="72"/>
      <w:szCs w:val="20"/>
    </w:rPr>
  </w:style>
  <w:style w:type="paragraph" w:styleId="28">
    <w:name w:val="HTML Preformatted"/>
    <w:basedOn w:val="1"/>
    <w:link w:val="20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2"/>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6"/>
    <w:qFormat/>
    <w:uiPriority w:val="0"/>
    <w:pPr>
      <w:adjustRightInd/>
      <w:spacing w:line="240" w:lineRule="auto"/>
      <w:textAlignment w:val="auto"/>
    </w:pPr>
    <w:rPr>
      <w:b/>
      <w:bCs/>
      <w:kern w:val="2"/>
      <w:sz w:val="21"/>
      <w:szCs w:val="24"/>
    </w:rPr>
  </w:style>
  <w:style w:type="table" w:styleId="32">
    <w:name w:val="Table Grid"/>
    <w:basedOn w:val="31"/>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semiHidden/>
    <w:unhideWhenUsed/>
    <w:qFormat/>
    <w:uiPriority w:val="99"/>
    <w:rPr>
      <w:color w:val="954F72" w:themeColor="followedHyperlink"/>
      <w:u w:val="single"/>
      <w14:textFill>
        <w14:solidFill>
          <w14:schemeClr w14:val="folHlink"/>
        </w14:solidFill>
      </w14:textFill>
    </w:rPr>
  </w:style>
  <w:style w:type="character" w:styleId="36">
    <w:name w:val="Emphasis"/>
    <w:basedOn w:val="33"/>
    <w:qFormat/>
    <w:uiPriority w:val="20"/>
    <w:rPr>
      <w:i/>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3"/>
    <w:link w:val="23"/>
    <w:qFormat/>
    <w:uiPriority w:val="99"/>
    <w:rPr>
      <w:sz w:val="18"/>
      <w:szCs w:val="18"/>
    </w:rPr>
  </w:style>
  <w:style w:type="character" w:customStyle="1" w:styleId="40">
    <w:name w:val="页脚 Char1"/>
    <w:basedOn w:val="33"/>
    <w:link w:val="22"/>
    <w:qFormat/>
    <w:uiPriority w:val="99"/>
    <w:rPr>
      <w:sz w:val="18"/>
      <w:szCs w:val="18"/>
    </w:rPr>
  </w:style>
  <w:style w:type="character" w:customStyle="1" w:styleId="41">
    <w:name w:val="标题 1 Char"/>
    <w:basedOn w:val="33"/>
    <w:link w:val="2"/>
    <w:qFormat/>
    <w:uiPriority w:val="0"/>
    <w:rPr>
      <w:rFonts w:ascii="Times New Roman" w:hAnsi="Times New Roman" w:eastAsia="宋体" w:cs="Times New Roman"/>
      <w:b/>
      <w:kern w:val="44"/>
      <w:sz w:val="44"/>
      <w:szCs w:val="20"/>
    </w:rPr>
  </w:style>
  <w:style w:type="character" w:customStyle="1" w:styleId="42">
    <w:name w:val="标题 2 Char"/>
    <w:basedOn w:val="33"/>
    <w:link w:val="3"/>
    <w:qFormat/>
    <w:uiPriority w:val="0"/>
    <w:rPr>
      <w:rFonts w:ascii="Arial" w:hAnsi="Arial" w:eastAsia="黑体" w:cs="Times New Roman"/>
      <w:b/>
      <w:bCs/>
      <w:sz w:val="32"/>
      <w:szCs w:val="32"/>
    </w:rPr>
  </w:style>
  <w:style w:type="character" w:customStyle="1" w:styleId="43">
    <w:name w:val="标题 3 Char"/>
    <w:basedOn w:val="33"/>
    <w:link w:val="4"/>
    <w:qFormat/>
    <w:uiPriority w:val="0"/>
    <w:rPr>
      <w:rFonts w:ascii="Times New Roman" w:hAnsi="Times New Roman" w:eastAsia="宋体" w:cs="Times New Roman"/>
      <w:b/>
      <w:sz w:val="32"/>
      <w:szCs w:val="20"/>
    </w:rPr>
  </w:style>
  <w:style w:type="character" w:customStyle="1" w:styleId="44">
    <w:name w:val="标题 4 Char"/>
    <w:basedOn w:val="33"/>
    <w:link w:val="6"/>
    <w:qFormat/>
    <w:uiPriority w:val="0"/>
    <w:rPr>
      <w:rFonts w:ascii="Arial" w:hAnsi="Arial" w:eastAsia="黑体" w:cs="Times New Roman"/>
      <w:b/>
      <w:bCs/>
      <w:sz w:val="28"/>
      <w:szCs w:val="28"/>
    </w:rPr>
  </w:style>
  <w:style w:type="character" w:customStyle="1" w:styleId="45">
    <w:name w:val="标题 5 Char"/>
    <w:basedOn w:val="33"/>
    <w:link w:val="7"/>
    <w:qFormat/>
    <w:uiPriority w:val="0"/>
    <w:rPr>
      <w:rFonts w:ascii="Times New Roman" w:hAnsi="Times New Roman" w:eastAsia="宋体" w:cs="Times New Roman"/>
      <w:b/>
      <w:bCs/>
      <w:sz w:val="28"/>
      <w:szCs w:val="28"/>
    </w:rPr>
  </w:style>
  <w:style w:type="character" w:customStyle="1" w:styleId="46">
    <w:name w:val="标题 6 Char"/>
    <w:basedOn w:val="33"/>
    <w:link w:val="8"/>
    <w:qFormat/>
    <w:uiPriority w:val="0"/>
    <w:rPr>
      <w:rFonts w:ascii="Arial" w:hAnsi="Arial" w:eastAsia="黑体" w:cs="Times New Roman"/>
      <w:b/>
      <w:bCs/>
      <w:sz w:val="24"/>
      <w:szCs w:val="24"/>
    </w:rPr>
  </w:style>
  <w:style w:type="character" w:customStyle="1" w:styleId="47">
    <w:name w:val="标题 7 Char"/>
    <w:basedOn w:val="33"/>
    <w:link w:val="9"/>
    <w:qFormat/>
    <w:uiPriority w:val="0"/>
    <w:rPr>
      <w:rFonts w:ascii="Times New Roman" w:hAnsi="Times New Roman" w:eastAsia="宋体" w:cs="Times New Roman"/>
      <w:b/>
      <w:bCs/>
      <w:sz w:val="24"/>
      <w:szCs w:val="24"/>
    </w:rPr>
  </w:style>
  <w:style w:type="character" w:customStyle="1" w:styleId="48">
    <w:name w:val="标题 8 Char"/>
    <w:basedOn w:val="33"/>
    <w:link w:val="10"/>
    <w:qFormat/>
    <w:uiPriority w:val="0"/>
    <w:rPr>
      <w:rFonts w:ascii="Arial" w:hAnsi="Arial" w:eastAsia="黑体" w:cs="Times New Roman"/>
      <w:sz w:val="24"/>
      <w:szCs w:val="24"/>
    </w:rPr>
  </w:style>
  <w:style w:type="character" w:customStyle="1" w:styleId="49">
    <w:name w:val="标题 9 Char"/>
    <w:basedOn w:val="33"/>
    <w:link w:val="11"/>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3"/>
    <w:link w:val="18"/>
    <w:qFormat/>
    <w:uiPriority w:val="0"/>
    <w:rPr>
      <w:rFonts w:ascii="宋体" w:hAnsi="Courier New" w:eastAsia="宋体" w:cs="Times New Roman"/>
      <w:szCs w:val="20"/>
    </w:rPr>
  </w:style>
  <w:style w:type="character" w:customStyle="1" w:styleId="52">
    <w:name w:val="日期 Char"/>
    <w:basedOn w:val="33"/>
    <w:link w:val="19"/>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qFormat/>
    <w:uiPriority w:val="34"/>
    <w:pPr>
      <w:ind w:firstLine="420" w:firstLineChars="200"/>
    </w:pPr>
  </w:style>
  <w:style w:type="paragraph" w:customStyle="1" w:styleId="55">
    <w:name w:val="itb"/>
    <w:basedOn w:val="4"/>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3"/>
    <w:link w:val="15"/>
    <w:qFormat/>
    <w:uiPriority w:val="0"/>
    <w:rPr>
      <w:rFonts w:ascii="Times New Roman" w:hAnsi="Times New Roman" w:eastAsia="宋体" w:cs="Times New Roman"/>
      <w:szCs w:val="20"/>
    </w:rPr>
  </w:style>
  <w:style w:type="character" w:customStyle="1" w:styleId="103">
    <w:name w:val="正文文本缩进 Char"/>
    <w:basedOn w:val="33"/>
    <w:link w:val="16"/>
    <w:qFormat/>
    <w:uiPriority w:val="0"/>
    <w:rPr>
      <w:rFonts w:ascii="Times New Roman" w:hAnsi="Times New Roman" w:eastAsia="宋体" w:cs="Times New Roman"/>
      <w:szCs w:val="20"/>
    </w:rPr>
  </w:style>
  <w:style w:type="character" w:customStyle="1" w:styleId="104">
    <w:name w:val="副标题 Char"/>
    <w:basedOn w:val="33"/>
    <w:link w:val="24"/>
    <w:qFormat/>
    <w:uiPriority w:val="0"/>
    <w:rPr>
      <w:rFonts w:ascii="Arial" w:hAnsi="Arial" w:eastAsia="宋体" w:cs="Arial"/>
      <w:b/>
      <w:bCs/>
      <w:kern w:val="28"/>
      <w:sz w:val="32"/>
      <w:szCs w:val="32"/>
    </w:rPr>
  </w:style>
  <w:style w:type="character" w:customStyle="1" w:styleId="105">
    <w:name w:val="正文文本 2 Char"/>
    <w:basedOn w:val="33"/>
    <w:link w:val="27"/>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3"/>
    <w:link w:val="20"/>
    <w:qFormat/>
    <w:uiPriority w:val="0"/>
    <w:rPr>
      <w:rFonts w:ascii="华文仿宋" w:hAnsi="华文仿宋" w:eastAsia="华文仿宋" w:cs="Times New Roman"/>
      <w:sz w:val="32"/>
      <w:szCs w:val="20"/>
    </w:rPr>
  </w:style>
  <w:style w:type="character" w:customStyle="1" w:styleId="110">
    <w:name w:val="批注框文本 Char"/>
    <w:basedOn w:val="33"/>
    <w:link w:val="21"/>
    <w:semiHidden/>
    <w:qFormat/>
    <w:uiPriority w:val="0"/>
    <w:rPr>
      <w:rFonts w:ascii="Times New Roman" w:hAnsi="Times New Roman" w:eastAsia="宋体" w:cs="Times New Roman"/>
      <w:sz w:val="18"/>
      <w:szCs w:val="18"/>
    </w:rPr>
  </w:style>
  <w:style w:type="character" w:customStyle="1" w:styleId="111">
    <w:name w:val="正文文本缩进 3 Char"/>
    <w:basedOn w:val="33"/>
    <w:link w:val="26"/>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3"/>
    <w:link w:val="13"/>
    <w:semiHidden/>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3"/>
    <w:link w:val="29"/>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
    <w:qFormat/>
    <w:uiPriority w:val="0"/>
    <w:rPr>
      <w:rFonts w:ascii="Times New Roman" w:hAnsi="Times New Roman" w:cs="Times New Roman"/>
      <w:b/>
      <w:bCs/>
      <w:kern w:val="44"/>
      <w:sz w:val="44"/>
      <w:szCs w:val="44"/>
    </w:rPr>
  </w:style>
  <w:style w:type="character" w:customStyle="1" w:styleId="138">
    <w:name w:val="Heading 2 Char"/>
    <w:qFormat/>
    <w:uiPriority w:val="0"/>
    <w:rPr>
      <w:rFonts w:ascii="Cambria" w:hAnsi="Cambria" w:eastAsia="宋体" w:cs="Cambria"/>
      <w:b/>
      <w:bCs/>
      <w:sz w:val="32"/>
      <w:szCs w:val="32"/>
    </w:rPr>
  </w:style>
  <w:style w:type="character" w:customStyle="1" w:styleId="139">
    <w:name w:val="Heading 3 Char"/>
    <w:qFormat/>
    <w:uiPriority w:val="0"/>
    <w:rPr>
      <w:rFonts w:ascii="Times New Roman" w:hAnsi="Times New Roman" w:cs="Times New Roman"/>
      <w:b/>
      <w:bCs/>
      <w:sz w:val="32"/>
      <w:szCs w:val="32"/>
    </w:rPr>
  </w:style>
  <w:style w:type="character" w:customStyle="1" w:styleId="140">
    <w:name w:val="Heading 4 Char"/>
    <w:qFormat/>
    <w:uiPriority w:val="0"/>
    <w:rPr>
      <w:rFonts w:ascii="Cambria" w:hAnsi="Cambria" w:eastAsia="宋体" w:cs="Cambria"/>
      <w:b/>
      <w:bCs/>
      <w:sz w:val="28"/>
      <w:szCs w:val="28"/>
    </w:rPr>
  </w:style>
  <w:style w:type="character" w:customStyle="1" w:styleId="141">
    <w:name w:val="Heading 5 Char"/>
    <w:qFormat/>
    <w:uiPriority w:val="0"/>
    <w:rPr>
      <w:rFonts w:ascii="Times New Roman" w:hAnsi="Times New Roman" w:cs="Times New Roman"/>
      <w:b/>
      <w:bCs/>
      <w:sz w:val="28"/>
      <w:szCs w:val="28"/>
    </w:rPr>
  </w:style>
  <w:style w:type="character" w:customStyle="1" w:styleId="142">
    <w:name w:val="Heading 6 Char"/>
    <w:qFormat/>
    <w:uiPriority w:val="0"/>
    <w:rPr>
      <w:rFonts w:ascii="Cambria" w:hAnsi="Cambria" w:eastAsia="宋体" w:cs="Cambria"/>
      <w:b/>
      <w:bCs/>
      <w:sz w:val="24"/>
      <w:szCs w:val="24"/>
    </w:rPr>
  </w:style>
  <w:style w:type="character" w:customStyle="1" w:styleId="143">
    <w:name w:val="Heading 7 Char"/>
    <w:qFormat/>
    <w:uiPriority w:val="0"/>
    <w:rPr>
      <w:rFonts w:ascii="Times New Roman" w:hAnsi="Times New Roman" w:cs="Times New Roman"/>
      <w:b/>
      <w:bCs/>
      <w:sz w:val="24"/>
      <w:szCs w:val="24"/>
    </w:rPr>
  </w:style>
  <w:style w:type="character" w:customStyle="1" w:styleId="144">
    <w:name w:val="Heading 8 Char"/>
    <w:qFormat/>
    <w:uiPriority w:val="0"/>
    <w:rPr>
      <w:rFonts w:ascii="Cambria" w:hAnsi="Cambria" w:eastAsia="宋体" w:cs="Cambria"/>
      <w:sz w:val="24"/>
      <w:szCs w:val="24"/>
    </w:rPr>
  </w:style>
  <w:style w:type="character" w:customStyle="1" w:styleId="145">
    <w:name w:val="Heading 9 Char"/>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5">
    <w:name w:val="正文文本 3 Char"/>
    <w:basedOn w:val="33"/>
    <w:link w:val="14"/>
    <w:qFormat/>
    <w:uiPriority w:val="0"/>
    <w:rPr>
      <w:rFonts w:ascii="Times New Roman" w:hAnsi="Times New Roman" w:eastAsia="宋体" w:cs="Times New Roman"/>
      <w:sz w:val="48"/>
      <w:szCs w:val="48"/>
    </w:rPr>
  </w:style>
  <w:style w:type="character" w:customStyle="1" w:styleId="176">
    <w:name w:val="批注主题 Char"/>
    <w:basedOn w:val="125"/>
    <w:link w:val="30"/>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3"/>
    <w:semiHidden/>
    <w:qFormat/>
    <w:uiPriority w:val="99"/>
    <w:rPr>
      <w:rFonts w:ascii="Microsoft YaHei UI" w:eastAsia="Microsoft YaHei UI"/>
      <w:sz w:val="18"/>
      <w:szCs w:val="18"/>
    </w:rPr>
  </w:style>
  <w:style w:type="character" w:customStyle="1" w:styleId="202">
    <w:name w:val="文档结构图 Char"/>
    <w:link w:val="12"/>
    <w:qFormat/>
    <w:uiPriority w:val="0"/>
    <w:rPr>
      <w:rFonts w:ascii="宋体" w:hAnsi="Times New Roman" w:eastAsia="宋体" w:cs="Times New Roman"/>
      <w:sz w:val="18"/>
      <w:szCs w:val="18"/>
    </w:rPr>
  </w:style>
  <w:style w:type="character" w:customStyle="1" w:styleId="203">
    <w:name w:val="HTML 预设格式 字符"/>
    <w:basedOn w:val="33"/>
    <w:semiHidden/>
    <w:qFormat/>
    <w:uiPriority w:val="99"/>
    <w:rPr>
      <w:rFonts w:ascii="Courier New" w:hAnsi="Courier New" w:cs="Courier New"/>
      <w:sz w:val="20"/>
      <w:szCs w:val="20"/>
    </w:rPr>
  </w:style>
  <w:style w:type="character" w:customStyle="1" w:styleId="204">
    <w:name w:val="HTML 预设格式 Char"/>
    <w:link w:val="28"/>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character" w:customStyle="1" w:styleId="209">
    <w:name w:val="NormalCharacter"/>
    <w:qFormat/>
    <w:uiPriority w:val="0"/>
    <w:rPr>
      <w:rFonts w:ascii="Times New Roman" w:hAnsi="Times New Roman" w:eastAsia="宋体"/>
    </w:rPr>
  </w:style>
  <w:style w:type="paragraph" w:customStyle="1" w:styleId="210">
    <w:name w:val="Table Paragraph"/>
    <w:basedOn w:val="1"/>
    <w:qFormat/>
    <w:uiPriority w:val="1"/>
  </w:style>
  <w:style w:type="character" w:customStyle="1" w:styleId="211">
    <w:name w:val="fontstyle01"/>
    <w:basedOn w:val="33"/>
    <w:qFormat/>
    <w:uiPriority w:val="0"/>
    <w:rPr>
      <w:rFonts w:hint="eastAsia" w:ascii="宋体" w:hAnsi="宋体" w:eastAsia="宋体"/>
      <w:color w:val="000000"/>
      <w:sz w:val="18"/>
      <w:szCs w:val="18"/>
    </w:rPr>
  </w:style>
  <w:style w:type="character" w:customStyle="1" w:styleId="212">
    <w:name w:val="fontstyle21"/>
    <w:basedOn w:val="33"/>
    <w:qFormat/>
    <w:uiPriority w:val="0"/>
    <w:rPr>
      <w:rFonts w:hint="default" w:ascii="TimesNewRomanPSMT" w:hAnsi="TimesNewRomanPSMT"/>
      <w:color w:val="000000"/>
      <w:sz w:val="18"/>
      <w:szCs w:val="18"/>
    </w:rPr>
  </w:style>
  <w:style w:type="character" w:customStyle="1" w:styleId="213">
    <w:name w:val="font21"/>
    <w:basedOn w:val="33"/>
    <w:qFormat/>
    <w:uiPriority w:val="0"/>
    <w:rPr>
      <w:rFonts w:hint="eastAsia" w:ascii="微软雅黑" w:hAnsi="微软雅黑" w:eastAsia="微软雅黑" w:cs="微软雅黑"/>
      <w:color w:val="000000"/>
      <w:sz w:val="20"/>
      <w:szCs w:val="20"/>
      <w:u w:val="none"/>
    </w:rPr>
  </w:style>
  <w:style w:type="character" w:customStyle="1" w:styleId="214">
    <w:name w:val="font31"/>
    <w:basedOn w:val="33"/>
    <w:qFormat/>
    <w:uiPriority w:val="0"/>
    <w:rPr>
      <w:rFonts w:ascii="72" w:hAnsi="72" w:eastAsia="72" w:cs="72"/>
      <w:color w:val="000000"/>
      <w:sz w:val="20"/>
      <w:szCs w:val="20"/>
      <w:u w:val="none"/>
    </w:rPr>
  </w:style>
  <w:style w:type="paragraph" w:customStyle="1" w:styleId="215">
    <w:name w:val="Default"/>
    <w:qFormat/>
    <w:uiPriority w:val="0"/>
    <w:pPr>
      <w:widowControl w:val="0"/>
      <w:autoSpaceDE w:val="0"/>
      <w:autoSpaceDN w:val="0"/>
      <w:adjustRightInd w:val="0"/>
      <w:spacing w:after="0" w:line="240" w:lineRule="auto"/>
    </w:pPr>
    <w:rPr>
      <w:rFonts w:ascii="宋体" w:eastAsia="宋体" w:cs="宋体" w:hAnsiTheme="maj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7866</Words>
  <Characters>8628</Characters>
  <Lines>12</Lines>
  <Paragraphs>17</Paragraphs>
  <TotalTime>1</TotalTime>
  <ScaleCrop>false</ScaleCrop>
  <LinksUpToDate>false</LinksUpToDate>
  <CharactersWithSpaces>8754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045</cp:lastModifiedBy>
  <dcterms:modified xsi:type="dcterms:W3CDTF">2024-10-10T00:12:43Z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F52D24A478984F87A5CFA8D6073A2D72_13</vt:lpwstr>
  </property>
</Properties>
</file>