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双水平正压通气治疗机</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包一：双水平正压通气治疗机</w:t>
      </w:r>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包二：儿童认知能力测试与训练仪 </w:t>
      </w:r>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包三：中医定向透药治疗仪</w:t>
      </w:r>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包四：骨髓细胞形态学图文</w:t>
      </w:r>
      <w:bookmarkStart w:id="24" w:name="_GoBack"/>
      <w:r>
        <w:rPr>
          <w:rFonts w:hint="eastAsia" w:ascii="宋体" w:hAnsi="宋体" w:eastAsia="宋体" w:cs="宋体"/>
          <w:kern w:val="0"/>
          <w:sz w:val="24"/>
          <w:szCs w:val="24"/>
          <w:highlight w:val="none"/>
          <w:lang w:val="en-US" w:eastAsia="zh-CN"/>
        </w:rPr>
        <w:t>分析系统</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highlight w:val="none"/>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 xml:space="preserve">12 </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 xml:space="preserve">7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bookmarkEnd w:id="24"/>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双水平正压通气治疗机</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双水平正压通气治疗机</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双水平正压通气治疗机</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神志病科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神志病科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numPr>
          <w:ilvl w:val="0"/>
          <w:numId w:val="0"/>
        </w:numPr>
        <w:spacing w:line="360" w:lineRule="auto"/>
        <w:ind w:firstLine="0" w:firstLineChars="0"/>
        <w:rPr>
          <w:rFonts w:ascii="宋体" w:hAnsi="宋体" w:eastAsia="宋体"/>
          <w:sz w:val="24"/>
          <w:szCs w:val="24"/>
        </w:rPr>
      </w:pPr>
    </w:p>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1、通气模式：CPAP、S、T、S/T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2、参数：</w:t>
      </w:r>
    </w:p>
    <w:p>
      <w:pPr>
        <w:keepNext w:val="0"/>
        <w:keepLines w:val="0"/>
        <w:pageBreakBefore w:val="0"/>
        <w:widowControl w:val="0"/>
        <w:kinsoku/>
        <w:wordWrap/>
        <w:overflowPunct/>
        <w:topLinePunct w:val="0"/>
        <w:autoSpaceDE/>
        <w:autoSpaceDN/>
        <w:bidi w:val="0"/>
        <w:adjustRightInd/>
        <w:snapToGrid w:val="0"/>
        <w:spacing w:line="360" w:lineRule="auto"/>
        <w:ind w:left="10" w:leftChars="5" w:firstLine="12" w:firstLineChars="5"/>
        <w:textAlignment w:val="auto"/>
        <w:rPr>
          <w:rFonts w:hint="eastAsia" w:ascii="宋体" w:hAnsi="宋体" w:eastAsia="宋体" w:cs="宋体"/>
          <w:kern w:val="0"/>
          <w:sz w:val="24"/>
          <w:szCs w:val="24"/>
        </w:rPr>
      </w:pPr>
      <w:r>
        <w:rPr>
          <w:rFonts w:hint="eastAsia" w:ascii="宋体" w:hAnsi="宋体" w:eastAsia="宋体" w:cs="宋体"/>
          <w:kern w:val="0"/>
          <w:sz w:val="24"/>
          <w:szCs w:val="24"/>
        </w:rPr>
        <w:t>2.1、IPAP最大吸气压力≥</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cmH2O</w:t>
      </w:r>
      <w:r>
        <w:rPr>
          <w:rFonts w:hint="eastAsia" w:ascii="宋体" w:hAnsi="宋体" w:eastAsia="宋体" w:cs="宋体"/>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2.2、EPAP最大呼气压力≥20cmH2O</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2.3、CPAP最大压力≥20cmH2O</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2.4、压力精确度：±1hPa</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2.5、呼吸频率10-40次/分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2.6、呼吸频率精确度：±1 l/min </w:t>
      </w:r>
    </w:p>
    <w:p>
      <w:pPr>
        <w:keepNext w:val="0"/>
        <w:keepLines w:val="0"/>
        <w:pageBreakBefore w:val="0"/>
        <w:widowControl w:val="0"/>
        <w:kinsoku/>
        <w:wordWrap/>
        <w:overflowPunct/>
        <w:topLinePunct w:val="0"/>
        <w:autoSpaceDE/>
        <w:autoSpaceDN/>
        <w:bidi w:val="0"/>
        <w:adjustRightInd/>
        <w:snapToGrid w:val="0"/>
        <w:spacing w:line="360" w:lineRule="auto"/>
        <w:ind w:left="-237" w:leftChars="-113"/>
        <w:textAlignment w:val="auto"/>
        <w:rPr>
          <w:rFonts w:hint="eastAsia" w:ascii="宋体" w:hAnsi="宋体" w:eastAsia="宋体" w:cs="宋体"/>
          <w:kern w:val="0"/>
          <w:sz w:val="24"/>
          <w:szCs w:val="24"/>
        </w:rPr>
      </w:pPr>
      <w:r>
        <w:rPr>
          <w:rFonts w:hint="eastAsia" w:ascii="宋体" w:hAnsi="宋体" w:eastAsia="宋体" w:cs="宋体"/>
          <w:kern w:val="0"/>
          <w:sz w:val="24"/>
          <w:szCs w:val="24"/>
        </w:rPr>
        <w:t>★2.7、可设置目标潮气量，潮气量范围：170—2800ml</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2.8、目标潮气量速度可调节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2.9、吸呼比：25%-60%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2.10、I:E精确度：±2%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2.11、吸气灵敏度：1-5档可调节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2.12、呼气灵敏度：1-5档可调节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2.13、最大漏气补偿160L/min</w:t>
      </w:r>
    </w:p>
    <w:p>
      <w:pPr>
        <w:keepNext w:val="0"/>
        <w:keepLines w:val="0"/>
        <w:pageBreakBefore w:val="0"/>
        <w:widowControl w:val="0"/>
        <w:kinsoku/>
        <w:wordWrap/>
        <w:overflowPunct/>
        <w:topLinePunct w:val="0"/>
        <w:autoSpaceDE/>
        <w:autoSpaceDN/>
        <w:bidi w:val="0"/>
        <w:adjustRightInd/>
        <w:snapToGrid w:val="0"/>
        <w:spacing w:line="360" w:lineRule="auto"/>
        <w:ind w:left="-176" w:leftChars="-84"/>
        <w:textAlignment w:val="auto"/>
        <w:rPr>
          <w:rFonts w:hint="eastAsia" w:ascii="宋体" w:hAnsi="宋体" w:eastAsia="宋体" w:cs="宋体"/>
          <w:kern w:val="0"/>
          <w:sz w:val="24"/>
          <w:szCs w:val="24"/>
        </w:rPr>
      </w:pPr>
      <w:r>
        <w:rPr>
          <w:rFonts w:hint="eastAsia" w:ascii="宋体" w:hAnsi="宋体" w:eastAsia="宋体" w:cs="宋体"/>
          <w:kern w:val="0"/>
          <w:sz w:val="24"/>
          <w:szCs w:val="24"/>
        </w:rPr>
        <w:t>★2.14、全金属涡轮机，保证最大流速≥280L/min</w:t>
      </w:r>
    </w:p>
    <w:p>
      <w:pPr>
        <w:keepNext w:val="0"/>
        <w:keepLines w:val="0"/>
        <w:pageBreakBefore w:val="0"/>
        <w:widowControl w:val="0"/>
        <w:kinsoku/>
        <w:wordWrap/>
        <w:overflowPunct/>
        <w:topLinePunct w:val="0"/>
        <w:autoSpaceDE/>
        <w:autoSpaceDN/>
        <w:bidi w:val="0"/>
        <w:adjustRightInd/>
        <w:snapToGrid w:val="0"/>
        <w:spacing w:line="360" w:lineRule="auto"/>
        <w:ind w:left="578" w:hanging="660" w:hangingChars="275"/>
        <w:textAlignment w:val="auto"/>
        <w:rPr>
          <w:rFonts w:hint="eastAsia" w:ascii="宋体" w:hAnsi="宋体" w:eastAsia="宋体" w:cs="宋体"/>
          <w:kern w:val="0"/>
          <w:sz w:val="24"/>
          <w:szCs w:val="24"/>
        </w:rPr>
      </w:pPr>
      <w:r>
        <w:rPr>
          <w:rFonts w:hint="eastAsia" w:ascii="宋体" w:hAnsi="宋体" w:eastAsia="宋体" w:cs="宋体"/>
          <w:kern w:val="0"/>
          <w:sz w:val="24"/>
          <w:szCs w:val="24"/>
        </w:rPr>
        <w:t>2.15、工作噪音≤30dB</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3、功能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3.1、快速纠正CO2潴留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4、监测项目：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4.1、屏幕实时显示吸气同步率、呼气同步率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4.2、通气模式、压力、频率、潮气量、分钟通气量、吸呼比、漏气量、吸气时间、呼气时间</w:t>
      </w:r>
    </w:p>
    <w:p>
      <w:pPr>
        <w:keepNext w:val="0"/>
        <w:keepLines w:val="0"/>
        <w:pageBreakBefore w:val="0"/>
        <w:widowControl w:val="0"/>
        <w:kinsoku/>
        <w:wordWrap/>
        <w:overflowPunct/>
        <w:topLinePunct w:val="0"/>
        <w:autoSpaceDE/>
        <w:autoSpaceDN/>
        <w:bidi w:val="0"/>
        <w:adjustRightInd/>
        <w:snapToGrid w:val="0"/>
        <w:spacing w:line="360" w:lineRule="auto"/>
        <w:ind w:left="-237" w:leftChars="-113"/>
        <w:textAlignment w:val="auto"/>
        <w:rPr>
          <w:rFonts w:hint="eastAsia" w:ascii="宋体" w:hAnsi="宋体" w:eastAsia="宋体" w:cs="宋体"/>
          <w:kern w:val="0"/>
          <w:sz w:val="24"/>
          <w:szCs w:val="24"/>
        </w:rPr>
      </w:pPr>
      <w:r>
        <w:rPr>
          <w:rFonts w:hint="eastAsia" w:ascii="宋体" w:hAnsi="宋体" w:eastAsia="宋体" w:cs="宋体"/>
          <w:kern w:val="0"/>
          <w:sz w:val="24"/>
          <w:szCs w:val="24"/>
        </w:rPr>
        <w:t>★4.3、波形曲线实时在线分析：容量—时间波形曲线、流速—时间波形曲线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5、报警部分：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5.1、具有灯光和声音双重报警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5.2、漏气报警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5.3、低压报警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5.4、高压报警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5.5、温度过高报警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5.6、低潮气量报警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5.7、断电报警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5.8、未连接报警</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具有一键穿梭功能，操作简单、方便</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全中文操作界面</w:t>
      </w:r>
    </w:p>
    <w:p>
      <w:pPr>
        <w:pStyle w:val="2"/>
        <w:keepNext w:val="0"/>
        <w:keepLines w:val="0"/>
        <w:pageBreakBefore w:val="0"/>
        <w:widowControl w:val="0"/>
        <w:kinsoku/>
        <w:wordWrap/>
        <w:overflowPunct/>
        <w:topLinePunct w:val="0"/>
        <w:bidi w:val="0"/>
        <w:adjustRightInd/>
        <w:spacing w:line="360" w:lineRule="auto"/>
        <w:ind w:left="0" w:leftChars="0" w:firstLine="0" w:firstLineChars="0"/>
        <w:textAlignment w:val="auto"/>
        <w:rPr>
          <w:rFonts w:hint="default"/>
          <w:lang w:val="en-US"/>
        </w:rPr>
      </w:pPr>
      <w:r>
        <w:rPr>
          <w:rFonts w:hint="eastAsia" w:ascii="宋体" w:hAnsi="宋体" w:eastAsia="宋体" w:cs="宋体"/>
          <w:kern w:val="0"/>
          <w:sz w:val="24"/>
          <w:szCs w:val="24"/>
          <w:lang w:val="en-US" w:eastAsia="zh-CN"/>
        </w:rPr>
        <w:t>★8、整机原厂质保≥2年，</w:t>
      </w:r>
      <w:r>
        <w:rPr>
          <w:rFonts w:hint="eastAsia" w:ascii="宋体" w:hAnsi="宋体" w:eastAsia="宋体"/>
          <w:sz w:val="24"/>
          <w:szCs w:val="24"/>
          <w:lang w:val="en-US" w:eastAsia="zh-CN"/>
        </w:rPr>
        <w:t>出保后费率5%。</w:t>
      </w:r>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5"/>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儿童认知能力测试与训练仪</w:t>
      </w:r>
      <w:r>
        <w:rPr>
          <w:rFonts w:hint="eastAsia" w:ascii="宋体" w:hAnsi="宋体" w:eastAsia="宋体" w:cs="Times New Roman"/>
          <w:sz w:val="24"/>
          <w:szCs w:val="24"/>
        </w:rPr>
        <w:t xml:space="preserve"> /壹台</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儿科临床医学中心</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儿科临床医学中心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spacing w:line="360" w:lineRule="auto"/>
        <w:ind w:firstLine="0" w:firstLineChars="0"/>
        <w:rPr>
          <w:rFonts w:ascii="宋体" w:hAnsi="宋体" w:eastAsia="宋体"/>
          <w:sz w:val="24"/>
          <w:szCs w:val="24"/>
        </w:rPr>
      </w:pP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bookmarkStart w:id="16" w:name="_Toc295993831"/>
      <w:bookmarkStart w:id="17" w:name="_Toc295993488"/>
      <w:r>
        <w:rPr>
          <w:rFonts w:hint="eastAsia" w:ascii="宋体" w:hAnsi="宋体" w:eastAsia="宋体" w:cs="宋体"/>
          <w:sz w:val="24"/>
          <w:szCs w:val="24"/>
        </w:rPr>
        <w:t>1.环境温度：+10 ℃～+35 ℃；</w:t>
      </w:r>
      <w:bookmarkEnd w:id="16"/>
      <w:bookmarkEnd w:id="17"/>
      <w:bookmarkStart w:id="18" w:name="_Toc295993832"/>
      <w:bookmarkStart w:id="19" w:name="_Toc295993489"/>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2.相对湿度：35%～75%；</w:t>
      </w:r>
      <w:bookmarkEnd w:id="18"/>
      <w:bookmarkEnd w:id="19"/>
      <w:bookmarkStart w:id="20" w:name="_Toc295993490"/>
      <w:bookmarkStart w:id="21" w:name="_Toc295993833"/>
    </w:p>
    <w:bookmarkEnd w:id="20"/>
    <w:bookmarkEnd w:id="21"/>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3.电源电压：AC220 V±22 V，电源频率：50 Hz±1 Hz；</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4.软件运行平台：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a）CPU</w:t>
      </w:r>
      <w:r>
        <w:rPr>
          <w:rFonts w:hint="eastAsia" w:ascii="宋体" w:hAnsi="宋体" w:eastAsia="宋体" w:cs="宋体"/>
          <w:sz w:val="24"/>
          <w:szCs w:val="24"/>
          <w:lang w:val="en-US" w:eastAsia="zh-CN"/>
        </w:rPr>
        <w:t>≥</w:t>
      </w:r>
      <w:r>
        <w:rPr>
          <w:rFonts w:hint="eastAsia" w:ascii="宋体" w:hAnsi="宋体" w:eastAsia="宋体" w:cs="宋体"/>
          <w:sz w:val="24"/>
          <w:szCs w:val="24"/>
        </w:rPr>
        <w:t>Core i3；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b）内存</w:t>
      </w:r>
      <w:r>
        <w:rPr>
          <w:rFonts w:hint="eastAsia" w:ascii="宋体" w:hAnsi="宋体" w:eastAsia="宋体" w:cs="宋体"/>
          <w:sz w:val="24"/>
          <w:szCs w:val="24"/>
          <w:lang w:val="en-US" w:eastAsia="zh-CN"/>
        </w:rPr>
        <w:t>≥</w:t>
      </w:r>
      <w:r>
        <w:rPr>
          <w:rFonts w:hint="eastAsia" w:ascii="宋体" w:hAnsi="宋体" w:eastAsia="宋体" w:cs="宋体"/>
          <w:sz w:val="24"/>
          <w:szCs w:val="24"/>
        </w:rPr>
        <w:t>4GB；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c）硬盘</w:t>
      </w:r>
      <w:r>
        <w:rPr>
          <w:rFonts w:hint="eastAsia" w:ascii="宋体" w:hAnsi="宋体" w:eastAsia="宋体" w:cs="宋体"/>
          <w:sz w:val="24"/>
          <w:szCs w:val="24"/>
          <w:lang w:val="en-US" w:eastAsia="zh-CN"/>
        </w:rPr>
        <w:t>≥</w:t>
      </w:r>
      <w:r>
        <w:rPr>
          <w:rFonts w:hint="eastAsia" w:ascii="宋体" w:hAnsi="宋体" w:eastAsia="宋体" w:cs="宋体"/>
          <w:sz w:val="24"/>
          <w:szCs w:val="24"/>
        </w:rPr>
        <w:t>160 GB；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d）显卡：集成显卡或以上；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e）声卡：集成声卡或以上；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f）操作系统：Windows 7及以上。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5.开机预热时间：不少于2 min。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.外形尺寸（长×宽×高）</w:t>
      </w:r>
      <w:r>
        <w:rPr>
          <w:rFonts w:hint="eastAsia" w:ascii="宋体" w:hAnsi="宋体" w:eastAsia="宋体" w:cs="宋体"/>
          <w:sz w:val="24"/>
          <w:szCs w:val="24"/>
          <w:lang w:val="en-US" w:eastAsia="zh-CN"/>
        </w:rPr>
        <w:t>≥</w:t>
      </w:r>
      <w:r>
        <w:rPr>
          <w:rFonts w:hint="eastAsia" w:ascii="宋体" w:hAnsi="宋体" w:eastAsia="宋体" w:cs="宋体"/>
          <w:sz w:val="24"/>
          <w:szCs w:val="24"/>
        </w:rPr>
        <w:t>1200mm×700mm×750mm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.单通</w:t>
      </w:r>
      <w:r>
        <w:rPr>
          <w:rFonts w:hint="eastAsia" w:ascii="宋体" w:hAnsi="宋体" w:eastAsia="宋体" w:cs="宋体"/>
          <w:b w:val="0"/>
          <w:bCs w:val="0"/>
          <w:sz w:val="24"/>
          <w:szCs w:val="24"/>
        </w:rPr>
        <w:t>道低通滤波器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a）增益/dB，</w:t>
      </w:r>
      <w:r>
        <w:rPr>
          <w:rFonts w:hint="eastAsia" w:ascii="宋体" w:hAnsi="宋体" w:eastAsia="宋体" w:cs="宋体"/>
          <w:b w:val="0"/>
          <w:bCs w:val="0"/>
          <w:sz w:val="24"/>
          <w:szCs w:val="24"/>
          <w:lang w:val="en-US" w:eastAsia="zh-CN"/>
        </w:rPr>
        <w:t>至少包含三档</w:t>
      </w:r>
      <w:r>
        <w:rPr>
          <w:rFonts w:hint="eastAsia" w:ascii="宋体" w:hAnsi="宋体" w:eastAsia="宋体" w:cs="宋体"/>
          <w:b w:val="0"/>
          <w:bCs w:val="0"/>
          <w:sz w:val="24"/>
          <w:szCs w:val="24"/>
        </w:rPr>
        <w:t>：20、25、30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b）低通滤波/KHz，</w:t>
      </w:r>
      <w:r>
        <w:rPr>
          <w:rFonts w:hint="eastAsia" w:ascii="宋体" w:hAnsi="宋体" w:eastAsia="宋体" w:cs="宋体"/>
          <w:b w:val="0"/>
          <w:bCs w:val="0"/>
          <w:sz w:val="24"/>
          <w:szCs w:val="24"/>
          <w:lang w:val="en-US" w:eastAsia="zh-CN"/>
        </w:rPr>
        <w:t>至少包含</w:t>
      </w:r>
      <w:r>
        <w:rPr>
          <w:rFonts w:hint="eastAsia" w:ascii="宋体" w:hAnsi="宋体" w:eastAsia="宋体" w:cs="宋体"/>
          <w:b w:val="0"/>
          <w:bCs w:val="0"/>
          <w:sz w:val="24"/>
          <w:szCs w:val="24"/>
        </w:rPr>
        <w:t>四档：5、10、15、20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c）当无信号输入时，静止噪声≤1mV</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d）信号频率误差：±4%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.输入功率:</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1000VA</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9.产品特性: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9.1）★软件通过以大样本测试数据为指标，智能评测儿童各项认知能力所对应的能力数值及其所处阶段，并根据评测结果自动导入个体化训练方案。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9.2）评测结果自动保存，可对比和分析训练前、后的数据，报告可直接打印。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9.3）★用户管理系统，包含管理员、医生、治疗师、患者四种用户角色，实现系统数据分层管理。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10、软件模块功能:至少包含软件包括测试平台与学习平台两大平台。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10.1）认知能力测试:根据不同儿童的认知发展水平差异，自动导入相应的等级甄别题和等级测试题。平台可提供录音功能，可录制地方方言。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10.2）认知能力学习平台:至少可针对五项认知能力进行学习训练；至少含有五个难度级别。</w:t>
      </w:r>
    </w:p>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3）★个性化学习平台</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含有</w:t>
      </w:r>
      <w:r>
        <w:rPr>
          <w:rFonts w:hint="eastAsia" w:ascii="宋体" w:hAnsi="宋体" w:eastAsia="宋体" w:cs="宋体"/>
          <w:b w:val="0"/>
          <w:bCs w:val="0"/>
          <w:sz w:val="24"/>
          <w:szCs w:val="24"/>
          <w:highlight w:val="none"/>
        </w:rPr>
        <w:t>个体化开放式训练平台。</w:t>
      </w:r>
    </w:p>
    <w:p>
      <w:pPr>
        <w:pStyle w:val="2"/>
        <w:ind w:left="0" w:leftChars="0" w:firstLine="0" w:firstLineChars="0"/>
        <w:rPr>
          <w:rFonts w:hint="default" w:eastAsia="宋体"/>
          <w:lang w:val="en-US" w:eastAsia="zh-CN"/>
        </w:rPr>
      </w:pP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lang w:eastAsia="zh-CN"/>
        </w:rPr>
        <w:t>整机原厂质保≥</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出保后费率≤合同价的4%。</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中医定向透药治疗仪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叁拾捌</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使用科室：如下</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keepNext w:val="0"/>
              <w:keepLines w:val="0"/>
              <w:widowControl/>
              <w:suppressLineNumbers w:val="0"/>
              <w:jc w:val="center"/>
              <w:textAlignment w:val="center"/>
              <w:rPr>
                <w:rFonts w:hint="default"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3244" w:type="dxa"/>
            <w:vAlign w:val="center"/>
          </w:tcPr>
          <w:p>
            <w:pPr>
              <w:keepNext w:val="0"/>
              <w:keepLines w:val="0"/>
              <w:widowControl/>
              <w:suppressLineNumbers w:val="0"/>
              <w:jc w:val="center"/>
              <w:textAlignment w:val="center"/>
              <w:rPr>
                <w:rFonts w:ascii="宋体" w:hAnsi="宋体" w:eastAsia="宋体" w:cs="Times New Roman"/>
                <w:bCs/>
                <w:sz w:val="24"/>
                <w:szCs w:val="24"/>
              </w:rPr>
            </w:pPr>
            <w:r>
              <w:rPr>
                <w:rFonts w:hint="eastAsia" w:ascii="宋体" w:hAnsi="宋体" w:eastAsia="宋体" w:cs="宋体"/>
                <w:i w:val="0"/>
                <w:iCs w:val="0"/>
                <w:color w:val="000000"/>
                <w:kern w:val="0"/>
                <w:sz w:val="24"/>
                <w:szCs w:val="24"/>
                <w:u w:val="none"/>
                <w:lang w:val="en-US" w:eastAsia="zh-CN" w:bidi="ar"/>
              </w:rPr>
              <w:t>儿科临床医学中心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3244" w:type="dxa"/>
            <w:vAlign w:val="center"/>
          </w:tcPr>
          <w:p>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4"/>
                <w:szCs w:val="24"/>
                <w:u w:val="none"/>
                <w:lang w:val="en-US" w:eastAsia="zh-CN" w:bidi="ar"/>
              </w:rPr>
              <w:t>骨科医学临床中心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3244" w:type="dxa"/>
            <w:vAlign w:val="center"/>
          </w:tcPr>
          <w:p>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4"/>
                <w:szCs w:val="24"/>
                <w:u w:val="none"/>
                <w:lang w:val="en-US" w:eastAsia="zh-CN" w:bidi="ar"/>
              </w:rPr>
              <w:t>妇科临床医学中心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3244" w:type="dxa"/>
            <w:vAlign w:val="center"/>
          </w:tcPr>
          <w:p>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4"/>
                <w:szCs w:val="24"/>
                <w:u w:val="none"/>
                <w:lang w:val="en-US" w:eastAsia="zh-CN" w:bidi="ar"/>
              </w:rPr>
              <w:t>肾病科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3244" w:type="dxa"/>
            <w:vAlign w:val="center"/>
          </w:tcPr>
          <w:p>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4"/>
                <w:szCs w:val="24"/>
                <w:u w:val="none"/>
                <w:lang w:val="en-US" w:eastAsia="zh-CN" w:bidi="ar"/>
              </w:rPr>
              <w:t>肺病科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3244" w:type="dxa"/>
            <w:vAlign w:val="center"/>
          </w:tcPr>
          <w:p>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4"/>
                <w:szCs w:val="24"/>
                <w:u w:val="none"/>
                <w:lang w:val="en-US" w:eastAsia="zh-CN" w:bidi="ar"/>
              </w:rPr>
              <w:t>脑与神志病临床医学中心-脑病科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7</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44" w:type="dxa"/>
            <w:vAlign w:val="center"/>
          </w:tcPr>
          <w:p>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4"/>
                <w:szCs w:val="24"/>
                <w:u w:val="none"/>
                <w:lang w:val="en-US" w:eastAsia="zh-CN" w:bidi="ar"/>
              </w:rPr>
              <w:t>消化临床医学中心-肝科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消化临床医学中心-脾胃病科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9</w:t>
            </w:r>
          </w:p>
        </w:tc>
        <w:tc>
          <w:tcPr>
            <w:tcW w:w="2195" w:type="dxa"/>
            <w:vAlign w:val="center"/>
          </w:tcPr>
          <w:p>
            <w:pPr>
              <w:keepNext w:val="0"/>
              <w:keepLines w:val="0"/>
              <w:widowControl/>
              <w:suppressLineNumbers w:val="0"/>
              <w:jc w:val="center"/>
              <w:textAlignment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老年科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spacing w:line="360" w:lineRule="auto"/>
        <w:ind w:left="-420" w:firstLineChars="0"/>
        <w:rPr>
          <w:rFonts w:hint="default" w:ascii="宋体" w:hAnsi="宋体" w:eastAsia="宋体"/>
          <w:sz w:val="24"/>
          <w:szCs w:val="24"/>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输出通道：</w:t>
      </w:r>
      <w:r>
        <w:rPr>
          <w:rFonts w:hint="eastAsia" w:ascii="宋体" w:hAnsi="宋体" w:eastAsia="宋体" w:cs="宋体"/>
          <w:sz w:val="24"/>
          <w:szCs w:val="24"/>
          <w:lang w:val="en-US" w:eastAsia="zh-CN"/>
        </w:rPr>
        <w:t>≥</w:t>
      </w:r>
      <w:r>
        <w:rPr>
          <w:rFonts w:hint="eastAsia" w:ascii="宋体" w:hAnsi="宋体" w:eastAsia="宋体" w:cs="宋体"/>
          <w:sz w:val="24"/>
          <w:szCs w:val="24"/>
        </w:rPr>
        <w:t>2通道；</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★治疗电流：非对称低中频编码电流；</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控制方式：单键飞梭控制，一键快速操作；</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四种治疗模式：</w:t>
      </w:r>
    </w:p>
    <w:p>
      <w:pPr>
        <w:pStyle w:val="229"/>
        <w:keepNext w:val="0"/>
        <w:keepLines w:val="0"/>
        <w:pageBreakBefore w:val="0"/>
        <w:widowControl w:val="0"/>
        <w:numPr>
          <w:ilvl w:val="1"/>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非对称定向药物导入；</w:t>
      </w:r>
    </w:p>
    <w:p>
      <w:pPr>
        <w:pStyle w:val="229"/>
        <w:keepNext w:val="0"/>
        <w:keepLines w:val="0"/>
        <w:pageBreakBefore w:val="0"/>
        <w:widowControl w:val="0"/>
        <w:numPr>
          <w:ilvl w:val="1"/>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非对称定向药物导入＋电极保温＋动态磁场；</w:t>
      </w:r>
    </w:p>
    <w:p>
      <w:pPr>
        <w:pStyle w:val="229"/>
        <w:keepNext w:val="0"/>
        <w:keepLines w:val="0"/>
        <w:pageBreakBefore w:val="0"/>
        <w:widowControl w:val="0"/>
        <w:numPr>
          <w:ilvl w:val="1"/>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对称仿生按摩；</w:t>
      </w:r>
    </w:p>
    <w:p>
      <w:pPr>
        <w:pStyle w:val="229"/>
        <w:keepNext w:val="0"/>
        <w:keepLines w:val="0"/>
        <w:pageBreakBefore w:val="0"/>
        <w:widowControl w:val="0"/>
        <w:numPr>
          <w:ilvl w:val="1"/>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对称仿生按摩＋电极保温＋动态磁场；</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中频载波频率：2000 Hz – 4000 Hz；</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中频载波波形：三角波；</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低频调制频率：0 – 150 Hz；</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低频调制波形：方波；</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输出强度极限：≤100mA（r.m.s）;</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“按摩”状态，治疗仪在最大输出时，直流分量 ＜ 1V；</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“导入”状态，治疗仪在最大输出时，直流分量≥ 1V，但 ＜ 20V；</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负载影响：250Ω - 750Ω变化时，上述参数不受影响；</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动态磁场：支持；</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电极保温档位：0 – 5共6级调节；</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电极保温温度：≤ 60℃；</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★输出电流稳定度：≤ 10%；</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调幅度范围：100%±5%；</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输出强度控制：0 - 99共100级步进可调；</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定时时间控制：00 – 60分钟；</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工作电源：交流220±22V，50HZ±1Hz；</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熔断器规格：F1AL250V； </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连续工作时间：</w:t>
      </w:r>
      <w:r>
        <w:rPr>
          <w:rFonts w:hint="eastAsia" w:ascii="宋体" w:hAnsi="宋体" w:eastAsia="宋体" w:cs="宋体"/>
          <w:sz w:val="24"/>
          <w:szCs w:val="24"/>
          <w:lang w:val="en-US" w:eastAsia="zh-CN"/>
        </w:rPr>
        <w:t>≥</w:t>
      </w:r>
      <w:r>
        <w:rPr>
          <w:rFonts w:hint="eastAsia" w:ascii="宋体" w:hAnsi="宋体" w:eastAsia="宋体" w:cs="宋体"/>
          <w:sz w:val="24"/>
          <w:szCs w:val="24"/>
        </w:rPr>
        <w:t>4小时；</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left="360" w:leftChars="0" w:hanging="36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电极最大允许输出值：≤ 200 mA </w:t>
      </w:r>
    </w:p>
    <w:p>
      <w:pPr>
        <w:pStyle w:val="229"/>
        <w:keepNext w:val="0"/>
        <w:keepLines w:val="0"/>
        <w:pageBreakBefore w:val="0"/>
        <w:widowControl w:val="0"/>
        <w:numPr>
          <w:ilvl w:val="0"/>
          <w:numId w:val="6"/>
        </w:numPr>
        <w:kinsoku/>
        <w:wordWrap/>
        <w:overflowPunct/>
        <w:topLinePunct w:val="0"/>
        <w:bidi w:val="0"/>
        <w:adjustRightInd/>
        <w:snapToGrid/>
        <w:spacing w:after="156" w:afterLines="50" w:line="360" w:lineRule="auto"/>
        <w:ind w:left="360" w:leftChars="0" w:hanging="36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设备尺寸：≥长</w:t>
      </w:r>
      <w:r>
        <w:rPr>
          <w:rFonts w:hint="eastAsia" w:ascii="宋体" w:hAnsi="宋体" w:eastAsia="宋体" w:cs="宋体"/>
          <w:sz w:val="24"/>
          <w:szCs w:val="24"/>
        </w:rPr>
        <w:t xml:space="preserve">44 x </w:t>
      </w:r>
      <w:r>
        <w:rPr>
          <w:rFonts w:hint="eastAsia" w:ascii="宋体" w:hAnsi="宋体" w:eastAsia="宋体" w:cs="宋体"/>
          <w:sz w:val="24"/>
          <w:szCs w:val="24"/>
          <w:lang w:val="en-US" w:eastAsia="zh-CN"/>
        </w:rPr>
        <w:t>宽</w:t>
      </w:r>
      <w:r>
        <w:rPr>
          <w:rFonts w:hint="eastAsia" w:ascii="宋体" w:hAnsi="宋体" w:eastAsia="宋体" w:cs="宋体"/>
          <w:sz w:val="24"/>
          <w:szCs w:val="24"/>
        </w:rPr>
        <w:t xml:space="preserve">33 x </w:t>
      </w:r>
      <w:r>
        <w:rPr>
          <w:rFonts w:hint="eastAsia" w:ascii="宋体" w:hAnsi="宋体" w:eastAsia="宋体" w:cs="宋体"/>
          <w:sz w:val="24"/>
          <w:szCs w:val="24"/>
          <w:lang w:val="en-US" w:eastAsia="zh-CN"/>
        </w:rPr>
        <w:t>高</w:t>
      </w:r>
      <w:r>
        <w:rPr>
          <w:rFonts w:hint="eastAsia" w:ascii="宋体" w:hAnsi="宋体" w:eastAsia="宋体" w:cs="宋体"/>
          <w:sz w:val="24"/>
          <w:szCs w:val="24"/>
        </w:rPr>
        <w:t>12cm</w:t>
      </w:r>
    </w:p>
    <w:p>
      <w:pPr>
        <w:pStyle w:val="2"/>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★25.原厂整机终身质保。</w:t>
      </w:r>
    </w:p>
    <w:p>
      <w:pPr>
        <w:pStyle w:val="41"/>
        <w:rPr>
          <w:rFonts w:ascii="宋体" w:hAnsi="宋体" w:cs="宋体"/>
          <w:color w:val="000000"/>
          <w:sz w:val="28"/>
          <w:szCs w:val="28"/>
        </w:rPr>
      </w:pPr>
    </w:p>
    <w:p>
      <w:pPr>
        <w:spacing w:line="360" w:lineRule="auto"/>
        <w:ind w:left="-420" w:firstLine="420"/>
        <w:rPr>
          <w:rFonts w:ascii="宋体" w:hAnsi="宋体" w:eastAsia="宋体"/>
          <w:sz w:val="24"/>
          <w:szCs w:val="24"/>
        </w:rPr>
      </w:pP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7"/>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骨髓细胞形态学图文分析系统</w:t>
      </w:r>
      <w:r>
        <w:rPr>
          <w:rFonts w:hint="eastAsia" w:ascii="宋体" w:hAnsi="宋体" w:eastAsia="宋体" w:cs="宋体"/>
          <w:bCs/>
          <w:sz w:val="24"/>
          <w:szCs w:val="24"/>
        </w:rPr>
        <w:t>/</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pStyle w:val="57"/>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cs="宋体"/>
          <w:sz w:val="24"/>
          <w:szCs w:val="24"/>
          <w:lang w:val="en-US" w:eastAsia="zh-CN"/>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宋体"/>
                <w:sz w:val="24"/>
                <w:szCs w:val="24"/>
                <w:lang w:val="en-US" w:eastAsia="zh-CN"/>
              </w:rPr>
              <w:t>检验科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spacing w:line="360" w:lineRule="auto"/>
        <w:ind w:firstLine="0" w:firstLineChars="0"/>
        <w:rPr>
          <w:rFonts w:ascii="宋体" w:hAnsi="宋体" w:eastAsia="宋体"/>
          <w:sz w:val="24"/>
          <w:szCs w:val="24"/>
        </w:rPr>
      </w:pPr>
    </w:p>
    <w:p>
      <w:pPr>
        <w:pStyle w:val="57"/>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numPr>
          <w:ilvl w:val="0"/>
          <w:numId w:val="8"/>
        </w:numPr>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kern w:val="0"/>
          <w:sz w:val="24"/>
          <w:szCs w:val="24"/>
        </w:rPr>
        <w:t>★</w:t>
      </w:r>
      <w:r>
        <w:rPr>
          <w:rFonts w:hint="eastAsia" w:ascii="宋体" w:hAnsi="宋体" w:eastAsia="宋体" w:cs="宋体"/>
          <w:sz w:val="24"/>
          <w:szCs w:val="24"/>
        </w:rPr>
        <w:t>支持多种工作流程，如骨髓象、细胞形态学、</w:t>
      </w:r>
      <w:r>
        <w:rPr>
          <w:rFonts w:hint="eastAsia" w:ascii="宋体" w:hAnsi="宋体" w:eastAsia="宋体" w:cs="宋体"/>
          <w:sz w:val="24"/>
          <w:szCs w:val="24"/>
          <w:lang w:eastAsia="zh-Hans"/>
        </w:rPr>
        <w:t>外周血</w:t>
      </w:r>
      <w:r>
        <w:rPr>
          <w:rFonts w:hint="eastAsia" w:ascii="宋体" w:hAnsi="宋体" w:eastAsia="宋体" w:cs="宋体"/>
          <w:sz w:val="24"/>
          <w:szCs w:val="24"/>
        </w:rPr>
        <w:t>等检查，支持工作界面调整。</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可由操作人员选择相应细胞，系统根据所选细胞自动计算不同细胞的个体数目以及总数，统计百分比以及粒红比等，个数和百分比显示可选。</w:t>
      </w:r>
    </w:p>
    <w:p>
      <w:pPr>
        <w:keepNext w:val="0"/>
        <w:keepLines w:val="0"/>
        <w:pageBreakBefore w:val="0"/>
        <w:widowControl w:val="0"/>
        <w:numPr>
          <w:ilvl w:val="0"/>
          <w:numId w:val="8"/>
        </w:numPr>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可查询或统计病例。</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可选择某天或某段时间内的报告统一批量打印。</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可生成统计报表及饼图，并支持数据导出。</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操作记录可追溯，减少多人操作造成的争议。</w:t>
      </w:r>
    </w:p>
    <w:p>
      <w:pPr>
        <w:keepNext w:val="0"/>
        <w:keepLines w:val="0"/>
        <w:pageBreakBefore w:val="0"/>
        <w:widowControl w:val="0"/>
        <w:numPr>
          <w:ilvl w:val="0"/>
          <w:numId w:val="8"/>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内置典型细胞图谱，支持维护。</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显示当前病人做过的其他检查资料，可查看图片和诊断结论。</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病例被删除后，软件会自动收集到回收站，可选择再次恢复数据。</w:t>
      </w:r>
    </w:p>
    <w:p>
      <w:pPr>
        <w:keepNext w:val="0"/>
        <w:keepLines w:val="0"/>
        <w:pageBreakBefore w:val="0"/>
        <w:widowControl w:val="0"/>
        <w:numPr>
          <w:ilvl w:val="0"/>
          <w:numId w:val="8"/>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具有</w:t>
      </w:r>
      <w:r>
        <w:rPr>
          <w:rFonts w:hint="eastAsia" w:ascii="宋体" w:hAnsi="宋体" w:eastAsia="宋体" w:cs="宋体"/>
          <w:sz w:val="24"/>
          <w:szCs w:val="24"/>
        </w:rPr>
        <w:t>数据库备份和维护功能，可设定数据自动备份，备份的时间和频率可自定义。</w:t>
      </w:r>
    </w:p>
    <w:p>
      <w:pPr>
        <w:keepNext w:val="0"/>
        <w:keepLines w:val="0"/>
        <w:pageBreakBefore w:val="0"/>
        <w:widowControl w:val="0"/>
        <w:numPr>
          <w:ilvl w:val="0"/>
          <w:numId w:val="9"/>
        </w:numPr>
        <w:kinsoku/>
        <w:wordWrap/>
        <w:overflowPunct/>
        <w:topLinePunct w:val="0"/>
        <w:bidi w:val="0"/>
        <w:snapToGrid/>
        <w:spacing w:line="360" w:lineRule="auto"/>
        <w:ind w:left="425" w:leftChars="0" w:hanging="425" w:firstLineChars="0"/>
        <w:textAlignment w:val="auto"/>
        <w:rPr>
          <w:rFonts w:hint="eastAsia" w:ascii="宋体" w:hAnsi="宋体" w:eastAsia="宋体" w:cs="宋体"/>
          <w:bCs/>
          <w:sz w:val="24"/>
          <w:szCs w:val="24"/>
        </w:rPr>
      </w:pPr>
      <w:r>
        <w:rPr>
          <w:rFonts w:hint="eastAsia" w:ascii="宋体" w:hAnsi="宋体" w:eastAsia="宋体" w:cs="宋体"/>
          <w:sz w:val="24"/>
          <w:szCs w:val="24"/>
        </w:rPr>
        <w:t>图像处理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w:t>
      </w:r>
      <w:r>
        <w:rPr>
          <w:rFonts w:hint="eastAsia" w:ascii="宋体" w:hAnsi="宋体" w:eastAsia="宋体" w:cs="宋体"/>
          <w:bCs/>
          <w:sz w:val="24"/>
          <w:szCs w:val="24"/>
        </w:rPr>
        <w:t>对已采集图像的亮度、对比度、色度、饱和度等进行调节。</w:t>
      </w:r>
    </w:p>
    <w:p>
      <w:pPr>
        <w:keepNext w:val="0"/>
        <w:keepLines w:val="0"/>
        <w:pageBreakBefore w:val="0"/>
        <w:widowControl w:val="0"/>
        <w:numPr>
          <w:ilvl w:val="0"/>
          <w:numId w:val="9"/>
        </w:numPr>
        <w:kinsoku/>
        <w:wordWrap/>
        <w:overflowPunct/>
        <w:topLinePunct w:val="0"/>
        <w:bidi w:val="0"/>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b/>
          <w:bCs/>
          <w:kern w:val="0"/>
          <w:sz w:val="24"/>
          <w:szCs w:val="24"/>
        </w:rPr>
        <w:t>★</w:t>
      </w:r>
      <w:r>
        <w:rPr>
          <w:rFonts w:hint="eastAsia" w:ascii="宋体" w:hAnsi="宋体" w:eastAsia="宋体" w:cs="宋体"/>
          <w:sz w:val="24"/>
          <w:szCs w:val="24"/>
        </w:rPr>
        <w:t>图像定量分析</w:t>
      </w:r>
      <w:r>
        <w:rPr>
          <w:rFonts w:hint="eastAsia" w:ascii="宋体" w:hAnsi="宋体" w:eastAsia="宋体" w:cs="宋体"/>
          <w:sz w:val="24"/>
          <w:szCs w:val="24"/>
          <w:lang w:eastAsia="zh-CN"/>
        </w:rPr>
        <w:t>：</w:t>
      </w:r>
      <w:r>
        <w:rPr>
          <w:rFonts w:hint="eastAsia" w:ascii="宋体" w:hAnsi="宋体" w:eastAsia="宋体" w:cs="宋体"/>
          <w:sz w:val="24"/>
          <w:szCs w:val="24"/>
        </w:rPr>
        <w:t>提供点、线、面积和角度测量四大类；提供多种的测量参数，如面积、周长、长轴、短轴、形态因子、异型指数、圆形度、平均灰度、平均光密度、积分光密度、绝对光密度、光密方差度、核浆比等；提供适用于诸如免疫组化等多种组织的面积比、数目比等比值的计算分析；自动对目标图像进行分割、计算、统计、归类等操作，并可自动编号，逐个显示被跟踪目标的全部参数。</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kern w:val="0"/>
          <w:sz w:val="24"/>
          <w:szCs w:val="24"/>
          <w:lang w:eastAsia="zh-Hans"/>
        </w:rPr>
      </w:pPr>
      <w:r>
        <w:rPr>
          <w:rFonts w:hint="eastAsia" w:ascii="宋体" w:hAnsi="宋体" w:eastAsia="宋体" w:cs="宋体"/>
          <w:sz w:val="24"/>
          <w:szCs w:val="24"/>
          <w:lang w:val="en-US" w:eastAsia="zh-CN"/>
        </w:rPr>
        <w:t>（二）数字</w:t>
      </w:r>
      <w:r>
        <w:rPr>
          <w:rFonts w:hint="eastAsia" w:ascii="宋体" w:hAnsi="宋体" w:eastAsia="宋体" w:cs="宋体"/>
          <w:sz w:val="24"/>
          <w:szCs w:val="24"/>
        </w:rPr>
        <w:t>摄像头</w:t>
      </w:r>
      <w:r>
        <w:rPr>
          <w:rFonts w:hint="eastAsia" w:ascii="宋体" w:hAnsi="宋体" w:eastAsia="宋体" w:cs="宋体"/>
          <w:sz w:val="24"/>
          <w:szCs w:val="24"/>
          <w:lang w:eastAsia="zh-Hans"/>
        </w:rPr>
        <w:t>及接口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数字</w:t>
      </w:r>
      <w:r>
        <w:rPr>
          <w:rFonts w:hint="eastAsia" w:ascii="宋体" w:hAnsi="宋体" w:eastAsia="宋体" w:cs="宋体"/>
          <w:b w:val="0"/>
          <w:bCs w:val="0"/>
          <w:kern w:val="0"/>
          <w:sz w:val="24"/>
          <w:szCs w:val="24"/>
          <w:lang w:val="en-US" w:eastAsia="zh-CN"/>
        </w:rPr>
        <w:t>清晰度</w:t>
      </w:r>
      <w:r>
        <w:rPr>
          <w:rFonts w:hint="eastAsia" w:ascii="宋体" w:hAnsi="宋体" w:eastAsia="宋体" w:cs="宋体"/>
          <w:b w:val="0"/>
          <w:bCs w:val="0"/>
          <w:kern w:val="0"/>
          <w:sz w:val="24"/>
          <w:szCs w:val="24"/>
          <w:lang w:eastAsia="zh-Hans"/>
        </w:rPr>
        <w:t>不低于</w:t>
      </w:r>
      <w:r>
        <w:rPr>
          <w:rFonts w:hint="eastAsia" w:ascii="宋体" w:hAnsi="宋体" w:eastAsia="宋体" w:cs="宋体"/>
          <w:b w:val="0"/>
          <w:bCs w:val="0"/>
          <w:kern w:val="0"/>
          <w:sz w:val="24"/>
          <w:szCs w:val="24"/>
        </w:rPr>
        <w:t>2000万像素</w:t>
      </w:r>
      <w:r>
        <w:rPr>
          <w:rFonts w:hint="eastAsia" w:ascii="宋体" w:hAnsi="宋体" w:eastAsia="宋体" w:cs="宋体"/>
          <w:b w:val="0"/>
          <w:bCs w:val="0"/>
          <w:kern w:val="0"/>
          <w:sz w:val="24"/>
          <w:szCs w:val="24"/>
          <w:lang w:eastAsia="zh-CN"/>
        </w:rPr>
        <w:t>；</w:t>
      </w:r>
      <w:r>
        <w:rPr>
          <w:rFonts w:hint="eastAsia" w:ascii="宋体" w:hAnsi="宋体" w:eastAsia="宋体" w:cs="宋体"/>
          <w:sz w:val="24"/>
          <w:szCs w:val="24"/>
          <w:lang w:val="en-US" w:eastAsia="zh-CN"/>
        </w:rPr>
        <w:t>数字</w:t>
      </w:r>
      <w:r>
        <w:rPr>
          <w:rFonts w:hint="eastAsia" w:ascii="宋体" w:hAnsi="宋体" w:eastAsia="宋体" w:cs="宋体"/>
          <w:b w:val="0"/>
          <w:bCs w:val="0"/>
          <w:kern w:val="0"/>
          <w:sz w:val="24"/>
          <w:szCs w:val="24"/>
        </w:rPr>
        <w:t>摄像头与软件为同一</w:t>
      </w:r>
      <w:r>
        <w:rPr>
          <w:rFonts w:hint="eastAsia" w:ascii="宋体" w:hAnsi="宋体" w:eastAsia="宋体" w:cs="宋体"/>
          <w:b w:val="0"/>
          <w:bCs w:val="0"/>
          <w:kern w:val="0"/>
          <w:sz w:val="24"/>
          <w:szCs w:val="24"/>
          <w:lang w:val="en-US" w:eastAsia="zh-CN"/>
        </w:rPr>
        <w:t>品牌</w:t>
      </w:r>
      <w:r>
        <w:rPr>
          <w:rFonts w:hint="eastAsia" w:ascii="宋体" w:hAnsi="宋体" w:eastAsia="宋体" w:cs="宋体"/>
          <w:kern w:val="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color w:val="000000" w:themeColor="text1"/>
          <w:sz w:val="24"/>
          <w:szCs w:val="24"/>
          <w:lang w:eastAsia="zh-Hans"/>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三</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显微镜</w:t>
      </w:r>
    </w:p>
    <w:p>
      <w:pPr>
        <w:keepNext w:val="0"/>
        <w:keepLines w:val="0"/>
        <w:pageBreakBefore w:val="0"/>
        <w:widowControl w:val="0"/>
        <w:numPr>
          <w:ilvl w:val="0"/>
          <w:numId w:val="10"/>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研究级正置显微镜，可作明场的观察</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10"/>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调焦：载物台垂直运动方式距离</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rPr>
        <w:t>25mm，带聚焦粗调上限停止位置，粗调旋钮扭矩可调，最小微调刻度单位1微米</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10"/>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观察镜筒：三目观察筒，三档分光FN≧22mm，屈光度可调。</w:t>
      </w:r>
    </w:p>
    <w:p>
      <w:pPr>
        <w:keepNext w:val="0"/>
        <w:keepLines w:val="0"/>
        <w:pageBreakBefore w:val="0"/>
        <w:widowControl w:val="0"/>
        <w:numPr>
          <w:ilvl w:val="0"/>
          <w:numId w:val="10"/>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物镜：平场消色差物镜4X</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10X</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40X</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100X</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10"/>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载物台：右手低位置同轴驱动选钮的高抗磨损性陶瓷覆盖层载物台</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10"/>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lang w:val="en-GB"/>
        </w:rPr>
      </w:pPr>
      <w:r>
        <w:rPr>
          <w:rFonts w:hint="eastAsia" w:ascii="宋体" w:hAnsi="宋体" w:eastAsia="宋体" w:cs="宋体"/>
          <w:b w:val="0"/>
          <w:bCs w:val="0"/>
          <w:kern w:val="0"/>
          <w:sz w:val="24"/>
          <w:szCs w:val="24"/>
        </w:rPr>
        <w:t>目镜：</w:t>
      </w:r>
      <w:r>
        <w:rPr>
          <w:rFonts w:hint="eastAsia" w:ascii="宋体" w:hAnsi="宋体" w:eastAsia="宋体" w:cs="宋体"/>
          <w:b w:val="0"/>
          <w:bCs w:val="0"/>
          <w:kern w:val="0"/>
          <w:sz w:val="24"/>
          <w:szCs w:val="24"/>
          <w:lang w:val="en-US" w:eastAsia="zh-CN"/>
        </w:rPr>
        <w:t>至少</w:t>
      </w:r>
      <w:r>
        <w:rPr>
          <w:rFonts w:hint="eastAsia" w:ascii="宋体" w:hAnsi="宋体" w:eastAsia="宋体" w:cs="宋体"/>
          <w:b w:val="0"/>
          <w:bCs w:val="0"/>
          <w:kern w:val="0"/>
          <w:sz w:val="24"/>
          <w:szCs w:val="24"/>
        </w:rPr>
        <w:t>10X宽视野目镜，视野数</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rPr>
        <w:t>22</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color w:val="000000" w:themeColor="text1"/>
          <w:sz w:val="24"/>
          <w:szCs w:val="24"/>
          <w:lang w:eastAsia="zh-Hans"/>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四</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通用血细胞分类仪</w:t>
      </w:r>
    </w:p>
    <w:p>
      <w:pPr>
        <w:keepNext w:val="0"/>
        <w:keepLines w:val="0"/>
        <w:pageBreakBefore w:val="0"/>
        <w:widowControl w:val="0"/>
        <w:numPr>
          <w:ilvl w:val="0"/>
          <w:numId w:val="11"/>
        </w:numPr>
        <w:kinsoku/>
        <w:wordWrap/>
        <w:overflowPunct/>
        <w:topLinePunct w:val="0"/>
        <w:bidi w:val="0"/>
        <w:snapToGrid/>
        <w:spacing w:line="360" w:lineRule="auto"/>
        <w:ind w:firstLine="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可</w:t>
      </w:r>
      <w:r>
        <w:rPr>
          <w:rFonts w:hint="eastAsia" w:ascii="宋体" w:hAnsi="宋体" w:eastAsia="宋体" w:cs="宋体"/>
          <w:kern w:val="0"/>
          <w:sz w:val="24"/>
          <w:szCs w:val="24"/>
        </w:rPr>
        <w:t>支持手动、键盘、鼠标等多种计数方式。支持离线使用，可</w:t>
      </w:r>
      <w:r>
        <w:rPr>
          <w:rFonts w:hint="eastAsia" w:ascii="宋体" w:hAnsi="宋体" w:eastAsia="宋体" w:cs="宋体"/>
          <w:kern w:val="0"/>
          <w:sz w:val="24"/>
          <w:szCs w:val="24"/>
          <w:lang w:val="en-US" w:eastAsia="zh-CN"/>
        </w:rPr>
        <w:t>当</w:t>
      </w:r>
      <w:r>
        <w:rPr>
          <w:rFonts w:hint="eastAsia" w:ascii="宋体" w:hAnsi="宋体" w:eastAsia="宋体" w:cs="宋体"/>
          <w:kern w:val="0"/>
          <w:sz w:val="24"/>
          <w:szCs w:val="24"/>
        </w:rPr>
        <w:t>单独计数仪使用，通过USB线连接电脑。</w:t>
      </w:r>
    </w:p>
    <w:p>
      <w:pPr>
        <w:keepNext w:val="0"/>
        <w:keepLines w:val="0"/>
        <w:pageBreakBefore w:val="0"/>
        <w:widowControl w:val="0"/>
        <w:numPr>
          <w:ilvl w:val="0"/>
          <w:numId w:val="11"/>
        </w:numPr>
        <w:kinsoku/>
        <w:wordWrap/>
        <w:overflowPunct/>
        <w:topLinePunct w:val="0"/>
        <w:bidi w:val="0"/>
        <w:snapToGrid/>
        <w:spacing w:line="360" w:lineRule="auto"/>
        <w:ind w:firstLine="0"/>
        <w:textAlignment w:val="auto"/>
        <w:rPr>
          <w:rFonts w:hint="eastAsia" w:ascii="宋体" w:hAnsi="宋体" w:eastAsia="宋体" w:cs="宋体"/>
          <w:sz w:val="24"/>
          <w:szCs w:val="24"/>
          <w:lang w:val="en-US" w:eastAsia="zh-Hans"/>
        </w:rPr>
      </w:pPr>
      <w:r>
        <w:rPr>
          <w:rFonts w:hint="eastAsia" w:ascii="宋体" w:hAnsi="宋体" w:eastAsia="宋体" w:cs="宋体"/>
          <w:kern w:val="0"/>
          <w:sz w:val="24"/>
          <w:szCs w:val="24"/>
        </w:rPr>
        <w:t>血细胞分类仪和软件以及摄像头为同一品牌保证软硬件兼容性和优质售后服务</w:t>
      </w:r>
      <w:r>
        <w:rPr>
          <w:rFonts w:hint="eastAsia" w:ascii="宋体" w:hAnsi="宋体" w:eastAsia="宋体" w:cs="宋体"/>
          <w:kern w:val="0"/>
          <w:sz w:val="24"/>
          <w:szCs w:val="24"/>
          <w:lang w:eastAsia="zh-CN"/>
        </w:rPr>
        <w:t>。</w:t>
      </w:r>
    </w:p>
    <w:p>
      <w:pPr>
        <w:pStyle w:val="228"/>
        <w:keepNext w:val="0"/>
        <w:keepLines w:val="0"/>
        <w:pageBreakBefore w:val="0"/>
        <w:widowControl w:val="0"/>
        <w:numPr>
          <w:ilvl w:val="0"/>
          <w:numId w:val="12"/>
        </w:numPr>
        <w:kinsoku/>
        <w:wordWrap/>
        <w:overflowPunct/>
        <w:topLinePunct w:val="0"/>
        <w:bidi w:val="0"/>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有电脑及打印机功能。</w:t>
      </w:r>
    </w:p>
    <w:p>
      <w:pPr>
        <w:pStyle w:val="228"/>
        <w:keepNext w:val="0"/>
        <w:keepLines w:val="0"/>
        <w:pageBreakBefore w:val="0"/>
        <w:widowControl w:val="0"/>
        <w:numPr>
          <w:ilvl w:val="0"/>
          <w:numId w:val="12"/>
        </w:numPr>
        <w:kinsoku/>
        <w:wordWrap/>
        <w:overflowPunct/>
        <w:topLinePunct w:val="0"/>
        <w:bidi w:val="0"/>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rPr>
        <w:t>★</w:t>
      </w:r>
      <w:r>
        <w:rPr>
          <w:rFonts w:hint="eastAsia" w:ascii="宋体" w:hAnsi="宋体" w:eastAsia="宋体" w:cs="宋体"/>
          <w:sz w:val="24"/>
          <w:szCs w:val="24"/>
          <w:lang w:val="en-US" w:eastAsia="zh-CN"/>
        </w:rPr>
        <w:t>原厂整机终身质保。</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2" w:name="_Hlk72236197"/>
      <w:r>
        <w:rPr>
          <w:rFonts w:hint="eastAsia" w:ascii="宋体" w:hAnsi="宋体" w:eastAsia="宋体" w:cs="Times New Roman"/>
          <w:sz w:val="24"/>
          <w:szCs w:val="20"/>
        </w:rPr>
        <w:t>上海市中医医院</w:t>
      </w:r>
      <w:bookmarkEnd w:id="22"/>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3" w:name="_Toc11326097"/>
      <w:r>
        <w:rPr>
          <w:rFonts w:hint="eastAsia" w:ascii="宋体" w:hAnsi="宋体" w:eastAsia="宋体" w:cs="Times New Roman"/>
          <w:b/>
          <w:sz w:val="28"/>
          <w:szCs w:val="20"/>
        </w:rPr>
        <w:t>附件2：无行贿犯罪记录声明函（格式）</w:t>
      </w:r>
      <w:bookmarkEnd w:id="23"/>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ECF1007"/>
    <w:multiLevelType w:val="singleLevel"/>
    <w:tmpl w:val="BECF1007"/>
    <w:lvl w:ilvl="0" w:tentative="0">
      <w:start w:val="1"/>
      <w:numFmt w:val="decimal"/>
      <w:suff w:val="nothing"/>
      <w:lvlText w:val="%1．"/>
      <w:lvlJc w:val="left"/>
      <w:pPr>
        <w:ind w:left="0" w:firstLine="400"/>
      </w:pPr>
      <w:rPr>
        <w:rFonts w:hint="default"/>
      </w:rPr>
    </w:lvl>
  </w:abstractNum>
  <w:abstractNum w:abstractNumId="3">
    <w:nsid w:val="EB6E932A"/>
    <w:multiLevelType w:val="singleLevel"/>
    <w:tmpl w:val="EB6E932A"/>
    <w:lvl w:ilvl="0" w:tentative="0">
      <w:start w:val="5"/>
      <w:numFmt w:val="chineseCounting"/>
      <w:suff w:val="nothing"/>
      <w:lvlText w:val="（%1）"/>
      <w:lvlJc w:val="left"/>
      <w:rPr>
        <w:rFonts w:hint="eastAsia"/>
      </w:rPr>
    </w:lvl>
  </w:abstractNum>
  <w:abstractNum w:abstractNumId="4">
    <w:nsid w:val="FEFFAA7B"/>
    <w:multiLevelType w:val="singleLevel"/>
    <w:tmpl w:val="FEFFAA7B"/>
    <w:lvl w:ilvl="0" w:tentative="0">
      <w:start w:val="1"/>
      <w:numFmt w:val="decimal"/>
      <w:suff w:val="nothing"/>
      <w:lvlText w:val="%1．"/>
      <w:lvlJc w:val="left"/>
      <w:pPr>
        <w:ind w:left="0" w:firstLine="400"/>
      </w:pPr>
      <w:rPr>
        <w:rFonts w:hint="default"/>
      </w:rPr>
    </w:lvl>
  </w:abstractNum>
  <w:abstractNum w:abstractNumId="5">
    <w:nsid w:val="21D8227C"/>
    <w:multiLevelType w:val="multilevel"/>
    <w:tmpl w:val="21D822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812B88"/>
    <w:multiLevelType w:val="multilevel"/>
    <w:tmpl w:val="24812B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9">
    <w:nsid w:val="55E0DF11"/>
    <w:multiLevelType w:val="multilevel"/>
    <w:tmpl w:val="55E0DF11"/>
    <w:lvl w:ilvl="0" w:tentative="0">
      <w:start w:val="1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56403999"/>
    <w:multiLevelType w:val="singleLevel"/>
    <w:tmpl w:val="56403999"/>
    <w:lvl w:ilvl="0" w:tentative="0">
      <w:start w:val="6"/>
      <w:numFmt w:val="decimal"/>
      <w:suff w:val="nothing"/>
      <w:lvlText w:val="%1、"/>
      <w:lvlJc w:val="left"/>
    </w:lvl>
  </w:abstractNum>
  <w:abstractNum w:abstractNumId="11">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1"/>
  </w:num>
  <w:num w:numId="2">
    <w:abstractNumId w:val="1"/>
  </w:num>
  <w:num w:numId="3">
    <w:abstractNumId w:val="0"/>
  </w:num>
  <w:num w:numId="4">
    <w:abstractNumId w:val="10"/>
  </w:num>
  <w:num w:numId="5">
    <w:abstractNumId w:val="8"/>
  </w:num>
  <w:num w:numId="6">
    <w:abstractNumId w:val="5"/>
  </w:num>
  <w:num w:numId="7">
    <w:abstractNumId w:val="7"/>
  </w:num>
  <w:num w:numId="8">
    <w:abstractNumId w:val="6"/>
  </w:num>
  <w:num w:numId="9">
    <w:abstractNumId w:val="9"/>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2518F2"/>
    <w:rsid w:val="0A7753AE"/>
    <w:rsid w:val="0B517B04"/>
    <w:rsid w:val="0BF00DA4"/>
    <w:rsid w:val="0C9A1884"/>
    <w:rsid w:val="0EB045BA"/>
    <w:rsid w:val="0EF02652"/>
    <w:rsid w:val="124770E1"/>
    <w:rsid w:val="129544B2"/>
    <w:rsid w:val="171A5BFB"/>
    <w:rsid w:val="1738378D"/>
    <w:rsid w:val="19DC576F"/>
    <w:rsid w:val="1A5F06D7"/>
    <w:rsid w:val="1C70162B"/>
    <w:rsid w:val="1DBC650F"/>
    <w:rsid w:val="1E4F1A12"/>
    <w:rsid w:val="206F557C"/>
    <w:rsid w:val="21452BB3"/>
    <w:rsid w:val="22AA393E"/>
    <w:rsid w:val="25B97D43"/>
    <w:rsid w:val="271D349F"/>
    <w:rsid w:val="275E3B93"/>
    <w:rsid w:val="27C51288"/>
    <w:rsid w:val="2B2963D3"/>
    <w:rsid w:val="2BD001FB"/>
    <w:rsid w:val="2D87636A"/>
    <w:rsid w:val="2E287082"/>
    <w:rsid w:val="2F2C5770"/>
    <w:rsid w:val="34EE008B"/>
    <w:rsid w:val="35805CB4"/>
    <w:rsid w:val="36CA3141"/>
    <w:rsid w:val="38593614"/>
    <w:rsid w:val="39301A51"/>
    <w:rsid w:val="3BF15DAC"/>
    <w:rsid w:val="3D3B56F0"/>
    <w:rsid w:val="3DA4759C"/>
    <w:rsid w:val="3DFE745B"/>
    <w:rsid w:val="3E2B711B"/>
    <w:rsid w:val="3E2D1012"/>
    <w:rsid w:val="409018AF"/>
    <w:rsid w:val="412709D8"/>
    <w:rsid w:val="41627833"/>
    <w:rsid w:val="416D419A"/>
    <w:rsid w:val="421443FB"/>
    <w:rsid w:val="427239F0"/>
    <w:rsid w:val="43426C26"/>
    <w:rsid w:val="44E76487"/>
    <w:rsid w:val="4668169A"/>
    <w:rsid w:val="49B25227"/>
    <w:rsid w:val="4B863339"/>
    <w:rsid w:val="4C426AC4"/>
    <w:rsid w:val="4D25098E"/>
    <w:rsid w:val="4D77632F"/>
    <w:rsid w:val="4E7C3473"/>
    <w:rsid w:val="501778F7"/>
    <w:rsid w:val="511278FC"/>
    <w:rsid w:val="526C74C3"/>
    <w:rsid w:val="52C021AE"/>
    <w:rsid w:val="536F70C2"/>
    <w:rsid w:val="5371335C"/>
    <w:rsid w:val="5389510F"/>
    <w:rsid w:val="543D17F5"/>
    <w:rsid w:val="56C17F84"/>
    <w:rsid w:val="56E97E3E"/>
    <w:rsid w:val="57931FDC"/>
    <w:rsid w:val="584A2B82"/>
    <w:rsid w:val="5912342D"/>
    <w:rsid w:val="59A549DC"/>
    <w:rsid w:val="59E10732"/>
    <w:rsid w:val="5B7B7104"/>
    <w:rsid w:val="5C3F2B37"/>
    <w:rsid w:val="5CF501E7"/>
    <w:rsid w:val="5E4E4400"/>
    <w:rsid w:val="5E5E67D4"/>
    <w:rsid w:val="5F37306B"/>
    <w:rsid w:val="5F9429F0"/>
    <w:rsid w:val="60BA47AE"/>
    <w:rsid w:val="63D92820"/>
    <w:rsid w:val="64917820"/>
    <w:rsid w:val="67F0315B"/>
    <w:rsid w:val="685F15E7"/>
    <w:rsid w:val="695A7333"/>
    <w:rsid w:val="6A0856B9"/>
    <w:rsid w:val="6B792AC7"/>
    <w:rsid w:val="6CE12E64"/>
    <w:rsid w:val="6CEA0C57"/>
    <w:rsid w:val="6D024D8C"/>
    <w:rsid w:val="6D4D4500"/>
    <w:rsid w:val="6ECC7A0D"/>
    <w:rsid w:val="6F490848"/>
    <w:rsid w:val="70EA395C"/>
    <w:rsid w:val="734A52EE"/>
    <w:rsid w:val="7397006E"/>
    <w:rsid w:val="740D6797"/>
    <w:rsid w:val="75CC49D7"/>
    <w:rsid w:val="77111160"/>
    <w:rsid w:val="77C35AEB"/>
    <w:rsid w:val="781E7167"/>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7"/>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8">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1">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2">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3">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line="560" w:lineRule="exact"/>
      <w:ind w:firstLine="100" w:firstLineChars="100"/>
    </w:pPr>
    <w:rPr>
      <w:szCs w:val="24"/>
    </w:rPr>
  </w:style>
  <w:style w:type="paragraph" w:styleId="3">
    <w:name w:val="Body Text"/>
    <w:basedOn w:val="1"/>
    <w:link w:val="105"/>
    <w:qFormat/>
    <w:uiPriority w:val="0"/>
    <w:pPr>
      <w:spacing w:after="120"/>
    </w:pPr>
    <w:rPr>
      <w:rFonts w:ascii="Times New Roman" w:hAnsi="Times New Roman" w:eastAsia="宋体" w:cs="Times New Roman"/>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4">
    <w:name w:val="Document Map"/>
    <w:basedOn w:val="1"/>
    <w:link w:val="204"/>
    <w:qFormat/>
    <w:uiPriority w:val="0"/>
    <w:rPr>
      <w:rFonts w:ascii="宋体" w:hAnsi="Times New Roman" w:eastAsia="宋体" w:cs="Times New Roman"/>
      <w:sz w:val="18"/>
      <w:szCs w:val="18"/>
    </w:rPr>
  </w:style>
  <w:style w:type="paragraph" w:styleId="15">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6">
    <w:name w:val="Body Text 3"/>
    <w:basedOn w:val="1"/>
    <w:link w:val="178"/>
    <w:qFormat/>
    <w:uiPriority w:val="0"/>
    <w:rPr>
      <w:rFonts w:ascii="Times New Roman" w:hAnsi="Times New Roman" w:eastAsia="宋体" w:cs="Times New Roman"/>
      <w:sz w:val="48"/>
      <w:szCs w:val="48"/>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5"/>
    <w:next w:val="15"/>
    <w:link w:val="179"/>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4"/>
    <w:qFormat/>
    <w:uiPriority w:val="99"/>
    <w:rPr>
      <w:sz w:val="18"/>
      <w:szCs w:val="18"/>
    </w:rPr>
  </w:style>
  <w:style w:type="character" w:customStyle="1" w:styleId="43">
    <w:name w:val="页脚 字符"/>
    <w:basedOn w:val="35"/>
    <w:link w:val="23"/>
    <w:qFormat/>
    <w:uiPriority w:val="99"/>
    <w:rPr>
      <w:sz w:val="18"/>
      <w:szCs w:val="18"/>
    </w:rPr>
  </w:style>
  <w:style w:type="character" w:customStyle="1" w:styleId="44">
    <w:name w:val="标题 1 字符"/>
    <w:basedOn w:val="35"/>
    <w:link w:val="4"/>
    <w:qFormat/>
    <w:uiPriority w:val="0"/>
    <w:rPr>
      <w:rFonts w:ascii="Times New Roman" w:hAnsi="Times New Roman" w:eastAsia="宋体" w:cs="Times New Roman"/>
      <w:b/>
      <w:kern w:val="44"/>
      <w:sz w:val="44"/>
      <w:szCs w:val="20"/>
    </w:rPr>
  </w:style>
  <w:style w:type="character" w:customStyle="1" w:styleId="45">
    <w:name w:val="标题 2 字符"/>
    <w:basedOn w:val="35"/>
    <w:link w:val="5"/>
    <w:qFormat/>
    <w:uiPriority w:val="0"/>
    <w:rPr>
      <w:rFonts w:ascii="Arial" w:hAnsi="Arial" w:eastAsia="黑体" w:cs="Times New Roman"/>
      <w:b/>
      <w:bCs/>
      <w:sz w:val="32"/>
      <w:szCs w:val="32"/>
    </w:rPr>
  </w:style>
  <w:style w:type="character" w:customStyle="1" w:styleId="46">
    <w:name w:val="标题 3 字符"/>
    <w:basedOn w:val="35"/>
    <w:link w:val="6"/>
    <w:qFormat/>
    <w:uiPriority w:val="0"/>
    <w:rPr>
      <w:rFonts w:ascii="Times New Roman" w:hAnsi="Times New Roman" w:eastAsia="宋体" w:cs="Times New Roman"/>
      <w:b/>
      <w:sz w:val="32"/>
      <w:szCs w:val="20"/>
    </w:rPr>
  </w:style>
  <w:style w:type="character" w:customStyle="1" w:styleId="47">
    <w:name w:val="标题 4 字符"/>
    <w:basedOn w:val="35"/>
    <w:link w:val="8"/>
    <w:qFormat/>
    <w:uiPriority w:val="0"/>
    <w:rPr>
      <w:rFonts w:ascii="Arial" w:hAnsi="Arial" w:eastAsia="黑体" w:cs="Times New Roman"/>
      <w:b/>
      <w:bCs/>
      <w:sz w:val="28"/>
      <w:szCs w:val="28"/>
    </w:rPr>
  </w:style>
  <w:style w:type="character" w:customStyle="1" w:styleId="48">
    <w:name w:val="标题 5 字符"/>
    <w:basedOn w:val="35"/>
    <w:link w:val="9"/>
    <w:qFormat/>
    <w:uiPriority w:val="0"/>
    <w:rPr>
      <w:rFonts w:ascii="Times New Roman" w:hAnsi="Times New Roman" w:eastAsia="宋体" w:cs="Times New Roman"/>
      <w:b/>
      <w:bCs/>
      <w:sz w:val="28"/>
      <w:szCs w:val="28"/>
    </w:rPr>
  </w:style>
  <w:style w:type="character" w:customStyle="1" w:styleId="49">
    <w:name w:val="标题 6 字符"/>
    <w:basedOn w:val="35"/>
    <w:link w:val="10"/>
    <w:qFormat/>
    <w:uiPriority w:val="0"/>
    <w:rPr>
      <w:rFonts w:ascii="Arial" w:hAnsi="Arial" w:eastAsia="黑体" w:cs="Times New Roman"/>
      <w:b/>
      <w:bCs/>
      <w:sz w:val="24"/>
      <w:szCs w:val="24"/>
    </w:rPr>
  </w:style>
  <w:style w:type="character" w:customStyle="1" w:styleId="50">
    <w:name w:val="标题 7 字符"/>
    <w:basedOn w:val="35"/>
    <w:link w:val="11"/>
    <w:qFormat/>
    <w:uiPriority w:val="0"/>
    <w:rPr>
      <w:rFonts w:ascii="Times New Roman" w:hAnsi="Times New Roman" w:eastAsia="宋体" w:cs="Times New Roman"/>
      <w:b/>
      <w:bCs/>
      <w:sz w:val="24"/>
      <w:szCs w:val="24"/>
    </w:rPr>
  </w:style>
  <w:style w:type="character" w:customStyle="1" w:styleId="51">
    <w:name w:val="标题 8 字符"/>
    <w:basedOn w:val="35"/>
    <w:link w:val="12"/>
    <w:qFormat/>
    <w:uiPriority w:val="0"/>
    <w:rPr>
      <w:rFonts w:ascii="Arial" w:hAnsi="Arial" w:eastAsia="黑体" w:cs="Times New Roman"/>
      <w:sz w:val="24"/>
      <w:szCs w:val="24"/>
    </w:rPr>
  </w:style>
  <w:style w:type="character" w:customStyle="1" w:styleId="52">
    <w:name w:val="标题 9 字符"/>
    <w:basedOn w:val="35"/>
    <w:link w:val="13"/>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9"/>
    <w:qFormat/>
    <w:uiPriority w:val="0"/>
    <w:rPr>
      <w:rFonts w:ascii="宋体" w:hAnsi="Courier New" w:eastAsia="宋体" w:cs="Times New Roman"/>
      <w:szCs w:val="20"/>
    </w:rPr>
  </w:style>
  <w:style w:type="character" w:customStyle="1" w:styleId="55">
    <w:name w:val="日期 字符"/>
    <w:basedOn w:val="35"/>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6"/>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7"/>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7"/>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7"/>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7"/>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7"/>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7"/>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7"/>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7"/>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3"/>
    <w:qFormat/>
    <w:uiPriority w:val="0"/>
    <w:rPr>
      <w:rFonts w:ascii="Times New Roman" w:hAnsi="Times New Roman" w:eastAsia="宋体" w:cs="Times New Roman"/>
      <w:szCs w:val="20"/>
    </w:rPr>
  </w:style>
  <w:style w:type="character" w:customStyle="1" w:styleId="106">
    <w:name w:val="正文文本缩进 字符"/>
    <w:basedOn w:val="35"/>
    <w:link w:val="17"/>
    <w:qFormat/>
    <w:uiPriority w:val="0"/>
    <w:rPr>
      <w:rFonts w:ascii="Times New Roman" w:hAnsi="Times New Roman" w:eastAsia="宋体" w:cs="Times New Roman"/>
      <w:szCs w:val="20"/>
    </w:rPr>
  </w:style>
  <w:style w:type="character" w:customStyle="1" w:styleId="107">
    <w:name w:val="副标题 字符"/>
    <w:basedOn w:val="35"/>
    <w:link w:val="25"/>
    <w:qFormat/>
    <w:uiPriority w:val="0"/>
    <w:rPr>
      <w:rFonts w:ascii="Arial" w:hAnsi="Arial" w:eastAsia="宋体" w:cs="Arial"/>
      <w:b/>
      <w:bCs/>
      <w:kern w:val="28"/>
      <w:sz w:val="32"/>
      <w:szCs w:val="32"/>
    </w:rPr>
  </w:style>
  <w:style w:type="character" w:customStyle="1" w:styleId="108">
    <w:name w:val="正文文本 2 字符"/>
    <w:basedOn w:val="35"/>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1"/>
    <w:qFormat/>
    <w:uiPriority w:val="0"/>
    <w:rPr>
      <w:rFonts w:ascii="华文仿宋" w:hAnsi="华文仿宋" w:eastAsia="华文仿宋" w:cs="Times New Roman"/>
      <w:sz w:val="32"/>
      <w:szCs w:val="20"/>
    </w:rPr>
  </w:style>
  <w:style w:type="character" w:customStyle="1" w:styleId="113">
    <w:name w:val="批注框文本 字符"/>
    <w:basedOn w:val="35"/>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5"/>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3"/>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6"/>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4"/>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9328</Words>
  <Characters>10198</Characters>
  <Lines>76</Lines>
  <Paragraphs>21</Paragraphs>
  <TotalTime>3</TotalTime>
  <ScaleCrop>false</ScaleCrop>
  <LinksUpToDate>false</LinksUpToDate>
  <CharactersWithSpaces>10376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2023-07-07T05:08:50Z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