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highlight w:val="none"/>
        </w:rPr>
      </w:pPr>
      <w:r>
        <w:rPr>
          <w:rFonts w:hint="eastAsia" w:ascii="宋体" w:hAnsi="宋体" w:eastAsia="宋体" w:cs="Times New Roman"/>
          <w:b/>
          <w:sz w:val="72"/>
          <w:szCs w:val="72"/>
          <w:highlight w:val="none"/>
        </w:rPr>
        <w:t>上海市中医医院</w:t>
      </w:r>
    </w:p>
    <w:p>
      <w:pPr>
        <w:adjustRightInd w:val="0"/>
        <w:spacing w:line="360" w:lineRule="auto"/>
        <w:jc w:val="center"/>
        <w:textAlignment w:val="baseline"/>
        <w:outlineLvl w:val="0"/>
        <w:rPr>
          <w:rFonts w:ascii="宋体" w:hAnsi="宋体" w:eastAsia="宋体" w:cs="Times New Roman"/>
          <w:b/>
          <w:sz w:val="72"/>
          <w:szCs w:val="72"/>
          <w:highlight w:val="none"/>
        </w:rPr>
      </w:pPr>
      <w:r>
        <w:rPr>
          <w:rFonts w:hint="eastAsia" w:ascii="宋体" w:hAnsi="宋体" w:eastAsia="宋体" w:cs="Times New Roman"/>
          <w:b/>
          <w:sz w:val="72"/>
          <w:szCs w:val="72"/>
          <w:highlight w:val="none"/>
        </w:rPr>
        <w:t>院内招标</w:t>
      </w:r>
      <w:r>
        <w:rPr>
          <w:rFonts w:ascii="宋体" w:hAnsi="宋体" w:eastAsia="宋体" w:cs="Times New Roman"/>
          <w:b/>
          <w:sz w:val="72"/>
          <w:szCs w:val="72"/>
          <w:highlight w:val="none"/>
        </w:rPr>
        <w:t>文件</w:t>
      </w:r>
      <w:bookmarkEnd w:id="0"/>
    </w:p>
    <w:p>
      <w:pPr>
        <w:tabs>
          <w:tab w:val="left" w:pos="3150"/>
        </w:tabs>
        <w:spacing w:line="360" w:lineRule="auto"/>
        <w:jc w:val="center"/>
        <w:rPr>
          <w:rFonts w:ascii="宋体" w:hAnsi="宋体" w:eastAsia="宋体" w:cs="Times New Roman"/>
          <w:b/>
          <w:sz w:val="32"/>
          <w:szCs w:val="20"/>
          <w:highlight w:val="none"/>
        </w:rPr>
      </w:pPr>
    </w:p>
    <w:p>
      <w:pPr>
        <w:tabs>
          <w:tab w:val="left" w:pos="3150"/>
        </w:tabs>
        <w:spacing w:line="360" w:lineRule="auto"/>
        <w:jc w:val="center"/>
        <w:rPr>
          <w:rFonts w:ascii="宋体" w:hAnsi="宋体" w:eastAsia="宋体" w:cs="Times New Roman"/>
          <w:b/>
          <w:sz w:val="32"/>
          <w:szCs w:val="20"/>
          <w:highlight w:val="none"/>
        </w:rPr>
      </w:pPr>
    </w:p>
    <w:p>
      <w:pPr>
        <w:tabs>
          <w:tab w:val="left" w:pos="3150"/>
        </w:tabs>
        <w:spacing w:line="360" w:lineRule="auto"/>
        <w:jc w:val="center"/>
        <w:rPr>
          <w:rFonts w:ascii="宋体" w:hAnsi="宋体" w:eastAsia="宋体" w:cs="Times New Roman"/>
          <w:b/>
          <w:sz w:val="32"/>
          <w:szCs w:val="20"/>
          <w:highlight w:val="none"/>
        </w:rPr>
      </w:pPr>
    </w:p>
    <w:p>
      <w:pPr>
        <w:tabs>
          <w:tab w:val="left" w:pos="3150"/>
        </w:tabs>
        <w:spacing w:line="360" w:lineRule="auto"/>
        <w:jc w:val="center"/>
        <w:rPr>
          <w:rFonts w:ascii="宋体" w:hAnsi="宋体" w:eastAsia="宋体" w:cs="Times New Roman"/>
          <w:b/>
          <w:sz w:val="32"/>
          <w:szCs w:val="20"/>
          <w:highlight w:val="none"/>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电脑中频治疗仪等</w:t>
      </w:r>
      <w:r>
        <w:rPr>
          <w:rFonts w:hint="eastAsia" w:ascii="宋体" w:hAnsi="宋体" w:eastAsia="宋体" w:cs="Times New Roman"/>
          <w:b/>
          <w:sz w:val="52"/>
          <w:szCs w:val="52"/>
          <w:highlight w:val="none"/>
        </w:rPr>
        <w:t>设备项目</w:t>
      </w: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rPr>
        <w:t>询价通知书</w:t>
      </w: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21</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highlight w:val="none"/>
        </w:rPr>
      </w:pPr>
    </w:p>
    <w:p>
      <w:pPr>
        <w:spacing w:line="360" w:lineRule="auto"/>
        <w:ind w:left="964" w:hanging="960" w:hangingChars="200"/>
        <w:jc w:val="center"/>
        <w:rPr>
          <w:rFonts w:ascii="宋体" w:hAnsi="宋体" w:eastAsia="宋体" w:cs="Times New Roman"/>
          <w:b/>
          <w:bCs/>
          <w:sz w:val="48"/>
          <w:szCs w:val="20"/>
          <w:highlight w:val="none"/>
        </w:rPr>
      </w:pPr>
    </w:p>
    <w:p>
      <w:pPr>
        <w:spacing w:line="360" w:lineRule="auto"/>
        <w:ind w:left="723" w:hanging="720" w:hangingChars="200"/>
        <w:jc w:val="center"/>
        <w:rPr>
          <w:rFonts w:ascii="宋体" w:hAnsi="宋体" w:eastAsia="宋体" w:cs="Times New Roman"/>
          <w:b/>
          <w:bCs/>
          <w:sz w:val="36"/>
          <w:szCs w:val="20"/>
          <w:highlight w:val="none"/>
        </w:rPr>
      </w:pPr>
      <w:r>
        <w:rPr>
          <w:rFonts w:hint="eastAsia" w:ascii="宋体" w:hAnsi="宋体" w:eastAsia="宋体" w:cs="Times New Roman"/>
          <w:b/>
          <w:bCs/>
          <w:sz w:val="36"/>
          <w:szCs w:val="20"/>
          <w:highlight w:val="none"/>
        </w:rPr>
        <w:t>目录</w:t>
      </w:r>
    </w:p>
    <w:p>
      <w:pPr>
        <w:spacing w:line="360" w:lineRule="auto"/>
        <w:ind w:left="199" w:hanging="198" w:hangingChars="55"/>
        <w:rPr>
          <w:rFonts w:ascii="宋体" w:hAnsi="宋体" w:eastAsia="宋体" w:cs="Times New Roman"/>
          <w:b/>
          <w:bCs/>
          <w:sz w:val="36"/>
          <w:szCs w:val="20"/>
          <w:highlight w:val="none"/>
        </w:rPr>
      </w:pPr>
    </w:p>
    <w:p>
      <w:pPr>
        <w:tabs>
          <w:tab w:val="left" w:pos="945"/>
          <w:tab w:val="right" w:leader="dot" w:pos="8777"/>
        </w:tabs>
        <w:spacing w:before="120" w:after="120" w:line="360" w:lineRule="exact"/>
        <w:rPr>
          <w:rFonts w:ascii="Calibri" w:hAnsi="Calibri" w:eastAsia="宋体" w:cs="Times New Roman"/>
          <w:highlight w:val="none"/>
        </w:rPr>
      </w:pPr>
      <w:r>
        <w:rPr>
          <w:rFonts w:ascii="宋体" w:hAnsi="宋体" w:eastAsia="宋体" w:cs="Times New Roman"/>
          <w:b/>
          <w:sz w:val="24"/>
          <w:szCs w:val="36"/>
          <w:highlight w:val="none"/>
        </w:rPr>
        <w:fldChar w:fldCharType="begin"/>
      </w:r>
      <w:r>
        <w:rPr>
          <w:rFonts w:ascii="宋体" w:hAnsi="宋体" w:eastAsia="宋体" w:cs="Times New Roman"/>
          <w:b/>
          <w:sz w:val="24"/>
          <w:szCs w:val="36"/>
          <w:highlight w:val="none"/>
        </w:rPr>
        <w:instrText xml:space="preserve"> TOC \h \z \t "ifb,1,sor,1,bds,1,cbds,1" </w:instrText>
      </w:r>
      <w:r>
        <w:rPr>
          <w:rFonts w:ascii="宋体" w:hAnsi="宋体" w:eastAsia="宋体" w:cs="Times New Roman"/>
          <w:b/>
          <w:sz w:val="24"/>
          <w:szCs w:val="36"/>
          <w:highlight w:val="none"/>
        </w:rPr>
        <w:fldChar w:fldCharType="separate"/>
      </w:r>
      <w:r>
        <w:rPr>
          <w:highlight w:val="none"/>
        </w:rPr>
        <w:fldChar w:fldCharType="begin"/>
      </w:r>
      <w:r>
        <w:rPr>
          <w:highlight w:val="none"/>
        </w:rPr>
        <w:instrText xml:space="preserve"> HYPERLINK \l "_Toc11326092" </w:instrText>
      </w:r>
      <w:r>
        <w:rPr>
          <w:highlight w:val="none"/>
        </w:rPr>
        <w:fldChar w:fldCharType="separate"/>
      </w:r>
      <w:r>
        <w:rPr>
          <w:rFonts w:hint="eastAsia" w:ascii="宋体" w:hAnsi="宋体" w:eastAsia="宋体" w:cs="Times New Roman"/>
          <w:b/>
          <w:color w:val="0000FF"/>
          <w:sz w:val="24"/>
          <w:szCs w:val="36"/>
          <w:highlight w:val="none"/>
          <w:u w:val="single"/>
        </w:rPr>
        <w:t>第一章</w:t>
      </w:r>
      <w:r>
        <w:rPr>
          <w:rFonts w:ascii="宋体" w:hAnsi="宋体" w:eastAsia="宋体" w:cs="Times New Roman"/>
          <w:b/>
          <w:color w:val="0000FF"/>
          <w:sz w:val="24"/>
          <w:szCs w:val="36"/>
          <w:highlight w:val="none"/>
          <w:u w:val="single"/>
        </w:rPr>
        <w:t xml:space="preserve"> </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投标邀</w:t>
      </w:r>
      <w:r>
        <w:rPr>
          <w:rFonts w:hint="eastAsia" w:ascii="宋体" w:hAnsi="宋体" w:eastAsia="宋体" w:cs="Times New Roman"/>
          <w:b/>
          <w:color w:val="0000FF"/>
          <w:sz w:val="24"/>
          <w:szCs w:val="36"/>
          <w:highlight w:val="none"/>
          <w:u w:val="single"/>
          <w:lang w:val="en-US" w:eastAsia="zh-CN"/>
        </w:rPr>
        <w:t>请</w:t>
      </w:r>
      <w:r>
        <w:rPr>
          <w:rFonts w:ascii="Times New Roman" w:hAnsi="Times New Roman" w:eastAsia="华文仿宋" w:cs="Times New Roman"/>
          <w:b/>
          <w:sz w:val="24"/>
          <w:szCs w:val="36"/>
          <w:highlight w:val="none"/>
        </w:rPr>
        <w:tab/>
      </w:r>
      <w:r>
        <w:rPr>
          <w:rFonts w:ascii="Times New Roman" w:hAnsi="Times New Roman" w:eastAsia="华文仿宋" w:cs="Times New Roman"/>
          <w:b/>
          <w:sz w:val="24"/>
          <w:szCs w:val="36"/>
          <w:highlight w:val="none"/>
        </w:rPr>
        <w:fldChar w:fldCharType="begin"/>
      </w:r>
      <w:r>
        <w:rPr>
          <w:rFonts w:ascii="Times New Roman" w:hAnsi="Times New Roman" w:eastAsia="华文仿宋" w:cs="Times New Roman"/>
          <w:b/>
          <w:sz w:val="24"/>
          <w:szCs w:val="36"/>
          <w:highlight w:val="none"/>
        </w:rPr>
        <w:instrText xml:space="preserve"> PAGEREF _Toc11326092 \h </w:instrText>
      </w:r>
      <w:r>
        <w:rPr>
          <w:rFonts w:ascii="Times New Roman" w:hAnsi="Times New Roman" w:eastAsia="华文仿宋" w:cs="Times New Roman"/>
          <w:b/>
          <w:sz w:val="24"/>
          <w:szCs w:val="36"/>
          <w:highlight w:val="none"/>
        </w:rPr>
        <w:fldChar w:fldCharType="separate"/>
      </w:r>
      <w:r>
        <w:rPr>
          <w:rFonts w:ascii="Times New Roman" w:hAnsi="Times New Roman" w:eastAsia="华文仿宋" w:cs="Times New Roman"/>
          <w:b/>
          <w:sz w:val="24"/>
          <w:szCs w:val="36"/>
          <w:highlight w:val="none"/>
        </w:rPr>
        <w:t>2</w:t>
      </w:r>
      <w:r>
        <w:rPr>
          <w:rFonts w:ascii="Times New Roman" w:hAnsi="Times New Roman" w:eastAsia="华文仿宋" w:cs="Times New Roman"/>
          <w:b/>
          <w:sz w:val="24"/>
          <w:szCs w:val="36"/>
          <w:highlight w:val="none"/>
        </w:rPr>
        <w:fldChar w:fldCharType="end"/>
      </w:r>
      <w:r>
        <w:rPr>
          <w:rFonts w:ascii="Times New Roman" w:hAnsi="Times New Roman" w:eastAsia="华文仿宋" w:cs="Times New Roman"/>
          <w:b/>
          <w:sz w:val="24"/>
          <w:szCs w:val="36"/>
          <w:highlight w:val="none"/>
        </w:rPr>
        <w:fldChar w:fldCharType="end"/>
      </w:r>
    </w:p>
    <w:p>
      <w:pPr>
        <w:tabs>
          <w:tab w:val="left" w:pos="945"/>
          <w:tab w:val="right" w:leader="dot" w:pos="8777"/>
        </w:tabs>
        <w:spacing w:before="120" w:after="120" w:line="360" w:lineRule="exact"/>
        <w:rPr>
          <w:rFonts w:ascii="Calibri" w:hAnsi="Calibri" w:eastAsia="宋体" w:cs="Times New Roman"/>
          <w:highlight w:val="none"/>
        </w:rPr>
      </w:pPr>
      <w:r>
        <w:rPr>
          <w:highlight w:val="none"/>
        </w:rPr>
        <w:fldChar w:fldCharType="begin"/>
      </w:r>
      <w:r>
        <w:rPr>
          <w:highlight w:val="none"/>
        </w:rPr>
        <w:instrText xml:space="preserve"> HYPERLINK \l "_Toc11326093" </w:instrText>
      </w:r>
      <w:r>
        <w:rPr>
          <w:highlight w:val="none"/>
        </w:rPr>
        <w:fldChar w:fldCharType="separate"/>
      </w:r>
      <w:r>
        <w:rPr>
          <w:rFonts w:hint="eastAsia" w:ascii="宋体" w:hAnsi="宋体" w:eastAsia="宋体" w:cs="Times New Roman"/>
          <w:b/>
          <w:color w:val="0000FF"/>
          <w:sz w:val="24"/>
          <w:szCs w:val="36"/>
          <w:highlight w:val="none"/>
          <w:u w:val="single"/>
        </w:rPr>
        <w:t>第二章</w:t>
      </w:r>
      <w:r>
        <w:rPr>
          <w:rFonts w:ascii="宋体" w:hAnsi="宋体" w:eastAsia="宋体" w:cs="Times New Roman"/>
          <w:b/>
          <w:color w:val="0000FF"/>
          <w:sz w:val="24"/>
          <w:szCs w:val="36"/>
          <w:highlight w:val="none"/>
          <w:u w:val="single"/>
        </w:rPr>
        <w:t xml:space="preserve"> </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投标资料表</w:t>
      </w:r>
      <w:r>
        <w:rPr>
          <w:rFonts w:ascii="Times New Roman" w:hAnsi="Times New Roman" w:eastAsia="华文仿宋" w:cs="Times New Roman"/>
          <w:b/>
          <w:sz w:val="24"/>
          <w:szCs w:val="36"/>
          <w:highlight w:val="none"/>
        </w:rPr>
        <w:tab/>
      </w:r>
      <w:r>
        <w:rPr>
          <w:rFonts w:hint="eastAsia" w:ascii="Times New Roman" w:hAnsi="Times New Roman" w:eastAsia="华文仿宋" w:cs="Times New Roman"/>
          <w:b/>
          <w:sz w:val="24"/>
          <w:szCs w:val="36"/>
          <w:highlight w:val="none"/>
          <w:lang w:val="en-US" w:eastAsia="zh-CN"/>
        </w:rPr>
        <w:t>3</w:t>
      </w:r>
      <w:r>
        <w:rPr>
          <w:rFonts w:ascii="Times New Roman" w:hAnsi="Times New Roman" w:eastAsia="华文仿宋" w:cs="Times New Roman"/>
          <w:b/>
          <w:sz w:val="24"/>
          <w:szCs w:val="36"/>
          <w:highlight w:val="none"/>
        </w:rPr>
        <w:fldChar w:fldCharType="end"/>
      </w:r>
    </w:p>
    <w:p>
      <w:pPr>
        <w:tabs>
          <w:tab w:val="left" w:pos="945"/>
          <w:tab w:val="right" w:leader="dot" w:pos="8777"/>
        </w:tabs>
        <w:spacing w:before="120" w:after="120" w:line="360" w:lineRule="exact"/>
        <w:rPr>
          <w:rFonts w:ascii="Calibri" w:hAnsi="Calibri" w:eastAsia="华文仿宋" w:cs="Times New Roman"/>
          <w:highlight w:val="none"/>
        </w:rPr>
      </w:pPr>
      <w:r>
        <w:rPr>
          <w:highlight w:val="none"/>
        </w:rPr>
        <w:fldChar w:fldCharType="begin"/>
      </w:r>
      <w:r>
        <w:rPr>
          <w:highlight w:val="none"/>
        </w:rPr>
        <w:instrText xml:space="preserve"> HYPERLINK \l "_Toc11326094" </w:instrText>
      </w:r>
      <w:r>
        <w:rPr>
          <w:highlight w:val="none"/>
        </w:rPr>
        <w:fldChar w:fldCharType="separate"/>
      </w:r>
      <w:r>
        <w:rPr>
          <w:rFonts w:hint="eastAsia" w:ascii="宋体" w:hAnsi="宋体" w:eastAsia="宋体" w:cs="Times New Roman"/>
          <w:b/>
          <w:color w:val="0000FF"/>
          <w:sz w:val="24"/>
          <w:szCs w:val="36"/>
          <w:highlight w:val="none"/>
          <w:u w:val="single"/>
        </w:rPr>
        <w:t>第三章</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合同专用条款</w:t>
      </w:r>
      <w:r>
        <w:rPr>
          <w:rFonts w:ascii="Times New Roman" w:hAnsi="Times New Roman" w:eastAsia="华文仿宋" w:cs="Times New Roman"/>
          <w:b/>
          <w:sz w:val="24"/>
          <w:szCs w:val="36"/>
          <w:highlight w:val="none"/>
        </w:rPr>
        <w:tab/>
      </w:r>
      <w:r>
        <w:rPr>
          <w:rFonts w:hint="eastAsia" w:ascii="Times New Roman" w:hAnsi="Times New Roman" w:eastAsia="华文仿宋" w:cs="Times New Roman"/>
          <w:b/>
          <w:sz w:val="24"/>
          <w:szCs w:val="36"/>
          <w:highlight w:val="none"/>
        </w:rPr>
        <w:t>1</w:t>
      </w:r>
      <w:r>
        <w:rPr>
          <w:rFonts w:hint="eastAsia" w:ascii="Times New Roman" w:hAnsi="Times New Roman" w:eastAsia="华文仿宋" w:cs="Times New Roman"/>
          <w:b/>
          <w:sz w:val="24"/>
          <w:szCs w:val="36"/>
          <w:highlight w:val="none"/>
        </w:rPr>
        <w:fldChar w:fldCharType="end"/>
      </w:r>
      <w:r>
        <w:rPr>
          <w:rFonts w:hint="eastAsia" w:ascii="Times New Roman" w:hAnsi="Times New Roman" w:eastAsia="华文仿宋" w:cs="Times New Roman"/>
          <w:b/>
          <w:sz w:val="24"/>
          <w:szCs w:val="36"/>
          <w:highlight w:val="none"/>
        </w:rPr>
        <w:t>0</w:t>
      </w:r>
    </w:p>
    <w:p>
      <w:pPr>
        <w:tabs>
          <w:tab w:val="left" w:pos="945"/>
          <w:tab w:val="right" w:leader="dot" w:pos="8777"/>
        </w:tabs>
        <w:spacing w:before="120" w:after="120" w:line="360" w:lineRule="exact"/>
        <w:rPr>
          <w:rFonts w:ascii="Calibri" w:hAnsi="Calibri" w:eastAsia="华文仿宋" w:cs="Times New Roman"/>
          <w:highlight w:val="none"/>
        </w:rPr>
      </w:pPr>
      <w:r>
        <w:rPr>
          <w:highlight w:val="none"/>
        </w:rPr>
        <w:fldChar w:fldCharType="begin"/>
      </w:r>
      <w:r>
        <w:rPr>
          <w:highlight w:val="none"/>
        </w:rPr>
        <w:instrText xml:space="preserve"> HYPERLINK \l "_Toc11326095" </w:instrText>
      </w:r>
      <w:r>
        <w:rPr>
          <w:highlight w:val="none"/>
        </w:rPr>
        <w:fldChar w:fldCharType="separate"/>
      </w:r>
      <w:r>
        <w:rPr>
          <w:rFonts w:hint="eastAsia" w:ascii="宋体" w:hAnsi="宋体" w:eastAsia="宋体" w:cs="Times New Roman"/>
          <w:b/>
          <w:color w:val="0000FF"/>
          <w:sz w:val="24"/>
          <w:szCs w:val="36"/>
          <w:highlight w:val="none"/>
          <w:u w:val="single"/>
        </w:rPr>
        <w:t>第四章</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货物需求一览表及技术规格</w:t>
      </w:r>
      <w:r>
        <w:rPr>
          <w:rFonts w:ascii="Times New Roman" w:hAnsi="Times New Roman" w:eastAsia="华文仿宋" w:cs="Times New Roman"/>
          <w:b/>
          <w:sz w:val="24"/>
          <w:szCs w:val="36"/>
          <w:highlight w:val="none"/>
        </w:rPr>
        <w:tab/>
      </w:r>
      <w:r>
        <w:rPr>
          <w:rFonts w:ascii="Times New Roman" w:hAnsi="Times New Roman" w:eastAsia="华文仿宋" w:cs="Times New Roman"/>
          <w:b/>
          <w:sz w:val="24"/>
          <w:szCs w:val="36"/>
          <w:highlight w:val="none"/>
        </w:rPr>
        <w:fldChar w:fldCharType="begin"/>
      </w:r>
      <w:r>
        <w:rPr>
          <w:rFonts w:ascii="Times New Roman" w:hAnsi="Times New Roman" w:eastAsia="华文仿宋" w:cs="Times New Roman"/>
          <w:b/>
          <w:sz w:val="24"/>
          <w:szCs w:val="36"/>
          <w:highlight w:val="none"/>
        </w:rPr>
        <w:instrText xml:space="preserve"> PAGEREF _Toc11326095 \h </w:instrText>
      </w:r>
      <w:r>
        <w:rPr>
          <w:rFonts w:ascii="Times New Roman" w:hAnsi="Times New Roman" w:eastAsia="华文仿宋" w:cs="Times New Roman"/>
          <w:b/>
          <w:sz w:val="24"/>
          <w:szCs w:val="36"/>
          <w:highlight w:val="none"/>
        </w:rPr>
        <w:fldChar w:fldCharType="separate"/>
      </w:r>
      <w:r>
        <w:rPr>
          <w:rFonts w:ascii="Times New Roman" w:hAnsi="Times New Roman" w:eastAsia="华文仿宋" w:cs="Times New Roman"/>
          <w:b/>
          <w:sz w:val="24"/>
          <w:szCs w:val="36"/>
          <w:highlight w:val="none"/>
        </w:rPr>
        <w:t>1</w:t>
      </w:r>
      <w:r>
        <w:rPr>
          <w:rFonts w:ascii="Times New Roman" w:hAnsi="Times New Roman" w:eastAsia="华文仿宋" w:cs="Times New Roman"/>
          <w:b/>
          <w:sz w:val="24"/>
          <w:szCs w:val="36"/>
          <w:highlight w:val="none"/>
        </w:rPr>
        <w:fldChar w:fldCharType="end"/>
      </w:r>
      <w:r>
        <w:rPr>
          <w:rFonts w:ascii="Times New Roman" w:hAnsi="Times New Roman" w:eastAsia="华文仿宋" w:cs="Times New Roman"/>
          <w:b/>
          <w:sz w:val="24"/>
          <w:szCs w:val="36"/>
          <w:highlight w:val="none"/>
        </w:rPr>
        <w:fldChar w:fldCharType="end"/>
      </w:r>
      <w:r>
        <w:rPr>
          <w:rFonts w:hint="eastAsia" w:ascii="Times New Roman" w:hAnsi="Times New Roman" w:eastAsia="华文仿宋" w:cs="Times New Roman"/>
          <w:b/>
          <w:sz w:val="24"/>
          <w:szCs w:val="36"/>
          <w:highlight w:val="none"/>
        </w:rPr>
        <w:t>2</w:t>
      </w:r>
    </w:p>
    <w:p>
      <w:pPr>
        <w:tabs>
          <w:tab w:val="left" w:pos="945"/>
          <w:tab w:val="right" w:leader="dot" w:pos="8777"/>
        </w:tabs>
        <w:spacing w:before="120" w:after="120" w:line="360" w:lineRule="exact"/>
        <w:rPr>
          <w:rFonts w:hint="eastAsia" w:ascii="Calibri" w:hAnsi="Calibri" w:eastAsia="华文仿宋" w:cs="Times New Roman"/>
          <w:highlight w:val="none"/>
          <w:lang w:eastAsia="zh-CN"/>
        </w:rPr>
      </w:pPr>
      <w:r>
        <w:rPr>
          <w:highlight w:val="none"/>
        </w:rPr>
        <w:fldChar w:fldCharType="begin"/>
      </w:r>
      <w:r>
        <w:rPr>
          <w:highlight w:val="none"/>
        </w:rPr>
        <w:instrText xml:space="preserve"> HYPERLINK \l "_Toc11326096" </w:instrText>
      </w:r>
      <w:r>
        <w:rPr>
          <w:highlight w:val="none"/>
        </w:rPr>
        <w:fldChar w:fldCharType="separate"/>
      </w:r>
      <w:r>
        <w:rPr>
          <w:rFonts w:hint="eastAsia" w:ascii="宋体" w:hAnsi="宋体" w:eastAsia="宋体" w:cs="Times New Roman"/>
          <w:b/>
          <w:color w:val="0000FF"/>
          <w:sz w:val="24"/>
          <w:szCs w:val="36"/>
          <w:highlight w:val="none"/>
          <w:u w:val="single"/>
        </w:rPr>
        <w:t>附件</w:t>
      </w:r>
      <w:r>
        <w:rPr>
          <w:rFonts w:ascii="宋体" w:hAnsi="宋体" w:eastAsia="宋体" w:cs="Times New Roman"/>
          <w:b/>
          <w:color w:val="0000FF"/>
          <w:sz w:val="24"/>
          <w:szCs w:val="36"/>
          <w:highlight w:val="none"/>
          <w:u w:val="single"/>
        </w:rPr>
        <w:t>1</w:t>
      </w:r>
      <w:r>
        <w:rPr>
          <w:rFonts w:hint="eastAsia" w:ascii="宋体" w:hAnsi="宋体" w:eastAsia="宋体" w:cs="Times New Roman"/>
          <w:b/>
          <w:color w:val="0000FF"/>
          <w:sz w:val="24"/>
          <w:szCs w:val="36"/>
          <w:highlight w:val="none"/>
          <w:u w:val="single"/>
        </w:rPr>
        <w:t>：无重大违法记录承诺书（格式）</w:t>
      </w:r>
      <w:r>
        <w:rPr>
          <w:rFonts w:ascii="Times New Roman" w:hAnsi="Times New Roman" w:eastAsia="华文仿宋" w:cs="Times New Roman"/>
          <w:b/>
          <w:sz w:val="24"/>
          <w:szCs w:val="36"/>
          <w:highlight w:val="none"/>
        </w:rPr>
        <w:tab/>
      </w:r>
      <w:r>
        <w:rPr>
          <w:rFonts w:ascii="Times New Roman" w:hAnsi="Times New Roman" w:eastAsia="华文仿宋" w:cs="Times New Roman"/>
          <w:b/>
          <w:sz w:val="24"/>
          <w:szCs w:val="36"/>
          <w:highlight w:val="none"/>
        </w:rPr>
        <w:fldChar w:fldCharType="begin"/>
      </w:r>
      <w:r>
        <w:rPr>
          <w:rFonts w:ascii="Times New Roman" w:hAnsi="Times New Roman" w:eastAsia="华文仿宋" w:cs="Times New Roman"/>
          <w:b/>
          <w:sz w:val="24"/>
          <w:szCs w:val="36"/>
          <w:highlight w:val="none"/>
        </w:rPr>
        <w:instrText xml:space="preserve"> PAGEREF _Toc11326096 \h </w:instrText>
      </w:r>
      <w:r>
        <w:rPr>
          <w:rFonts w:ascii="Times New Roman" w:hAnsi="Times New Roman" w:eastAsia="华文仿宋" w:cs="Times New Roman"/>
          <w:b/>
          <w:sz w:val="24"/>
          <w:szCs w:val="36"/>
          <w:highlight w:val="none"/>
        </w:rPr>
        <w:fldChar w:fldCharType="separate"/>
      </w:r>
      <w:r>
        <w:rPr>
          <w:rFonts w:hint="eastAsia" w:ascii="Times New Roman" w:hAnsi="Times New Roman" w:eastAsia="华文仿宋" w:cs="Times New Roman"/>
          <w:b/>
          <w:sz w:val="24"/>
          <w:szCs w:val="36"/>
          <w:highlight w:val="none"/>
        </w:rPr>
        <w:t>1</w:t>
      </w:r>
      <w:r>
        <w:rPr>
          <w:rFonts w:ascii="Times New Roman" w:hAnsi="Times New Roman" w:eastAsia="华文仿宋" w:cs="Times New Roman"/>
          <w:b/>
          <w:sz w:val="24"/>
          <w:szCs w:val="36"/>
          <w:highlight w:val="none"/>
        </w:rPr>
        <w:fldChar w:fldCharType="end"/>
      </w:r>
      <w:r>
        <w:rPr>
          <w:rFonts w:ascii="Times New Roman" w:hAnsi="Times New Roman" w:eastAsia="华文仿宋" w:cs="Times New Roman"/>
          <w:b/>
          <w:sz w:val="24"/>
          <w:szCs w:val="36"/>
          <w:highlight w:val="none"/>
        </w:rPr>
        <w:fldChar w:fldCharType="end"/>
      </w:r>
      <w:r>
        <w:rPr>
          <w:rFonts w:hint="eastAsia" w:ascii="Times New Roman" w:hAnsi="Times New Roman" w:eastAsia="华文仿宋" w:cs="Times New Roman"/>
          <w:b/>
          <w:sz w:val="24"/>
          <w:szCs w:val="36"/>
          <w:highlight w:val="none"/>
          <w:lang w:val="en-US" w:eastAsia="zh-CN"/>
        </w:rPr>
        <w:t>6</w:t>
      </w:r>
    </w:p>
    <w:p>
      <w:pPr>
        <w:tabs>
          <w:tab w:val="left" w:pos="945"/>
          <w:tab w:val="right" w:leader="dot" w:pos="8777"/>
        </w:tabs>
        <w:spacing w:before="120" w:after="120" w:line="360" w:lineRule="exact"/>
        <w:rPr>
          <w:rFonts w:ascii="Calibri" w:hAnsi="Calibri" w:eastAsia="华文仿宋" w:cs="Times New Roman"/>
          <w:highlight w:val="none"/>
        </w:rPr>
      </w:pPr>
      <w:r>
        <w:rPr>
          <w:highlight w:val="none"/>
        </w:rPr>
        <w:fldChar w:fldCharType="begin"/>
      </w:r>
      <w:r>
        <w:rPr>
          <w:highlight w:val="none"/>
        </w:rPr>
        <w:instrText xml:space="preserve"> HYPERLINK \l "_Toc11326097" </w:instrText>
      </w:r>
      <w:r>
        <w:rPr>
          <w:highlight w:val="none"/>
        </w:rPr>
        <w:fldChar w:fldCharType="separate"/>
      </w:r>
      <w:r>
        <w:rPr>
          <w:rFonts w:hint="eastAsia" w:ascii="宋体" w:hAnsi="宋体" w:eastAsia="宋体" w:cs="Times New Roman"/>
          <w:b/>
          <w:color w:val="0000FF"/>
          <w:sz w:val="24"/>
          <w:szCs w:val="36"/>
          <w:highlight w:val="none"/>
          <w:u w:val="single"/>
        </w:rPr>
        <w:t>附件</w:t>
      </w:r>
      <w:r>
        <w:rPr>
          <w:rFonts w:ascii="宋体" w:hAnsi="宋体" w:eastAsia="宋体" w:cs="Times New Roman"/>
          <w:b/>
          <w:color w:val="0000FF"/>
          <w:sz w:val="24"/>
          <w:szCs w:val="36"/>
          <w:highlight w:val="none"/>
          <w:u w:val="single"/>
        </w:rPr>
        <w:t>2</w:t>
      </w:r>
      <w:r>
        <w:rPr>
          <w:rFonts w:hint="eastAsia" w:ascii="宋体" w:hAnsi="宋体" w:eastAsia="宋体" w:cs="Times New Roman"/>
          <w:b/>
          <w:color w:val="0000FF"/>
          <w:sz w:val="24"/>
          <w:szCs w:val="36"/>
          <w:highlight w:val="none"/>
          <w:u w:val="single"/>
        </w:rPr>
        <w:t>：无行贿犯罪记录声明函（格式）</w:t>
      </w:r>
      <w:r>
        <w:rPr>
          <w:rFonts w:ascii="Times New Roman" w:hAnsi="Times New Roman" w:eastAsia="华文仿宋" w:cs="Times New Roman"/>
          <w:b/>
          <w:sz w:val="24"/>
          <w:szCs w:val="36"/>
          <w:highlight w:val="none"/>
        </w:rPr>
        <w:tab/>
      </w:r>
      <w:r>
        <w:rPr>
          <w:rFonts w:hint="eastAsia" w:ascii="Times New Roman" w:hAnsi="Times New Roman" w:eastAsia="华文仿宋" w:cs="Times New Roman"/>
          <w:b/>
          <w:sz w:val="24"/>
          <w:szCs w:val="36"/>
          <w:highlight w:val="none"/>
        </w:rPr>
        <w:t>1</w:t>
      </w:r>
      <w:r>
        <w:rPr>
          <w:rFonts w:hint="eastAsia" w:ascii="Times New Roman" w:hAnsi="Times New Roman" w:eastAsia="华文仿宋" w:cs="Times New Roman"/>
          <w:b/>
          <w:sz w:val="24"/>
          <w:szCs w:val="36"/>
          <w:highlight w:val="none"/>
          <w:lang w:val="en-US" w:eastAsia="zh-CN"/>
        </w:rPr>
        <w:t>7</w:t>
      </w:r>
      <w:r>
        <w:rPr>
          <w:rFonts w:hint="eastAsia" w:ascii="Times New Roman" w:hAnsi="Times New Roman" w:eastAsia="华文仿宋" w:cs="Times New Roman"/>
          <w:b/>
          <w:sz w:val="24"/>
          <w:szCs w:val="36"/>
          <w:highlight w:val="none"/>
        </w:rPr>
        <w:fldChar w:fldCharType="end"/>
      </w:r>
    </w:p>
    <w:p>
      <w:pPr>
        <w:rPr>
          <w:rFonts w:ascii="宋体" w:hAnsi="宋体" w:eastAsia="宋体" w:cs="Times New Roman"/>
          <w:szCs w:val="20"/>
          <w:highlight w:val="none"/>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rPr>
          <w:highlight w:val="none"/>
        </w:rP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2" w:name="OLE_LINK11"/>
      <w:bookmarkStart w:id="3" w:name="OLE_LINK16"/>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询价邀请</w:t>
      </w:r>
    </w:p>
    <w:p>
      <w:pPr>
        <w:spacing w:line="360" w:lineRule="auto"/>
        <w:ind w:left="425" w:hanging="424" w:hangingChars="177"/>
        <w:rPr>
          <w:rFonts w:ascii="宋体" w:hAnsi="宋体" w:eastAsia="宋体" w:cs="Times New Roman"/>
          <w:sz w:val="24"/>
          <w:szCs w:val="24"/>
          <w:highlight w:val="none"/>
        </w:rPr>
      </w:pPr>
      <w:bookmarkStart w:id="4" w:name="_Toc461613077"/>
      <w:bookmarkStart w:id="5" w:name="_Toc461613005"/>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cs="宋体"/>
          <w:kern w:val="0"/>
          <w:sz w:val="24"/>
          <w:szCs w:val="24"/>
          <w:highlight w:val="none"/>
        </w:rPr>
        <w:t>设备名称：</w:t>
      </w:r>
      <w:bookmarkEnd w:id="4"/>
      <w:bookmarkEnd w:id="5"/>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包件一：电脑中频治疗仪</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包件二：肛肠熏蒸仪</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包件三：肛肠综合治疗仪</w:t>
      </w:r>
    </w:p>
    <w:p>
      <w:pPr>
        <w:autoSpaceDE w:val="0"/>
        <w:autoSpaceDN w:val="0"/>
        <w:spacing w:line="360" w:lineRule="auto"/>
        <w:ind w:left="360" w:firstLine="64" w:firstLineChars="27"/>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包件四：无影灯</w:t>
      </w:r>
      <w:bookmarkStart w:id="18" w:name="_GoBack"/>
      <w:bookmarkEnd w:id="18"/>
    </w:p>
    <w:p>
      <w:pPr>
        <w:autoSpaceDE w:val="0"/>
        <w:autoSpaceDN w:val="0"/>
        <w:spacing w:line="360" w:lineRule="auto"/>
        <w:ind w:left="360" w:firstLine="64" w:firstLineChars="27"/>
        <w:rPr>
          <w:rFonts w:hint="default" w:ascii="宋体" w:hAnsi="宋体" w:eastAsia="宋体" w:cs="宋体"/>
          <w:kern w:val="0"/>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eastAsia="zh-CN"/>
        </w:rPr>
        <w:t>）</w:t>
      </w:r>
      <w:r>
        <w:rPr>
          <w:rFonts w:hint="eastAsia" w:ascii="宋体" w:hAnsi="宋体" w:eastAsia="宋体"/>
          <w:sz w:val="24"/>
          <w:szCs w:val="24"/>
          <w:highlight w:val="none"/>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lang w:val="en-US" w:eastAsia="zh-CN"/>
        </w:rPr>
        <w:t>3</w:t>
      </w:r>
      <w:r>
        <w:rPr>
          <w:rFonts w:hint="eastAsia" w:ascii="宋体" w:hAnsi="宋体" w:eastAsia="宋体" w:cs="宋体"/>
          <w:kern w:val="0"/>
          <w:sz w:val="24"/>
          <w:szCs w:val="24"/>
          <w:highlight w:val="none"/>
        </w:rPr>
        <w:t>）技术要求：见本询价通知书第四章“货物需求一览表及技术规格</w:t>
      </w:r>
      <w:r>
        <w:rPr>
          <w:rFonts w:hint="eastAsia" w:ascii="宋体" w:hAnsi="宋体" w:eastAsia="宋体" w:cs="宋体"/>
          <w:kern w:val="0"/>
          <w:sz w:val="24"/>
          <w:szCs w:val="24"/>
          <w:highlight w:val="none"/>
          <w:lang w:eastAsia="zh-CN"/>
        </w:rPr>
        <w:t>”</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21</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26</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26</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买方地址：中国上海芷江中路274号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lang w:val="en-US" w:eastAsia="zh-CN"/>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8" w:name="_Toc9066359"/>
      <w:bookmarkStart w:id="9" w:name="_Toc11326093"/>
      <w:bookmarkStart w:id="10" w:name="_Toc516880880"/>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电脑中频治疗仪等设备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电脑中频治疗仪等设备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财政</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第四章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06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29</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highlight w:val="none"/>
        </w:rPr>
      </w:pPr>
      <w:bookmarkStart w:id="11" w:name="_Toc11326094"/>
      <w:bookmarkStart w:id="12" w:name="_Toc9066360"/>
      <w:r>
        <w:rPr>
          <w:rFonts w:hint="eastAsia" w:ascii="宋体" w:hAnsi="宋体" w:eastAsia="宋体" w:cs="Times New Roman"/>
          <w:b/>
          <w:sz w:val="36"/>
          <w:szCs w:val="20"/>
          <w:highlight w:val="none"/>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0" w:type="auto"/>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 xml:space="preserve">1.1 </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买方地址：上海市静安区芷江中路274号</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邮编：</w:t>
            </w:r>
            <w:r>
              <w:rPr>
                <w:rFonts w:hint="eastAsia" w:ascii="宋体" w:hAnsi="宋体" w:eastAsia="宋体" w:cs="Times New Roman"/>
                <w:sz w:val="24"/>
                <w:szCs w:val="20"/>
                <w:highlight w:val="none"/>
                <w:lang w:eastAsia="zh-CN"/>
              </w:rPr>
              <w:t>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1.3</w:t>
            </w:r>
          </w:p>
        </w:tc>
        <w:tc>
          <w:tcPr>
            <w:tcW w:w="0" w:type="auto"/>
            <w:vAlign w:val="center"/>
          </w:tcPr>
          <w:p>
            <w:pPr>
              <w:autoSpaceDE w:val="0"/>
              <w:autoSpaceDN w:val="0"/>
              <w:spacing w:line="360" w:lineRule="auto"/>
              <w:ind w:right="57"/>
              <w:rPr>
                <w:rFonts w:ascii="宋体" w:hAnsi="宋体" w:eastAsia="宋体" w:cs="Times New Roman"/>
                <w:sz w:val="24"/>
                <w:szCs w:val="20"/>
                <w:highlight w:val="none"/>
                <w:shd w:val="pct10" w:color="auto" w:fill="FFFFFF"/>
              </w:rPr>
            </w:pPr>
            <w:r>
              <w:rPr>
                <w:rFonts w:hint="eastAsia" w:ascii="宋体" w:hAnsi="宋体" w:eastAsia="宋体" w:cs="Times New Roman"/>
                <w:sz w:val="24"/>
                <w:szCs w:val="20"/>
                <w:highlight w:val="none"/>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1.4</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1.5</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1.6</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1.7</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免费保修期为合同货物验收合格后的3年或以上保持有效。其他相关要求详见第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1.8</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.1</w:t>
            </w:r>
          </w:p>
        </w:tc>
        <w:tc>
          <w:tcPr>
            <w:tcW w:w="0" w:type="auto"/>
            <w:vAlign w:val="center"/>
          </w:tcPr>
          <w:p>
            <w:pPr>
              <w:spacing w:line="360" w:lineRule="auto"/>
              <w:ind w:left="-2" w:leftChars="-1" w:right="57" w:firstLine="48" w:firstLineChars="20"/>
              <w:rPr>
                <w:rFonts w:ascii="宋体" w:hAnsi="宋体" w:eastAsia="宋体" w:cs="Times New Roman"/>
                <w:sz w:val="24"/>
                <w:szCs w:val="20"/>
                <w:highlight w:val="none"/>
              </w:rPr>
            </w:pPr>
            <w:r>
              <w:rPr>
                <w:rFonts w:hint="eastAsia" w:ascii="宋体" w:hAnsi="宋体" w:eastAsia="宋体" w:cs="Times New Roman"/>
                <w:sz w:val="24"/>
                <w:szCs w:val="20"/>
                <w:highlight w:val="none"/>
              </w:rPr>
              <w:t>（1）货到验收合格后3个月内买方支付货款的100%；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2.2</w:t>
            </w:r>
          </w:p>
        </w:tc>
        <w:tc>
          <w:tcPr>
            <w:tcW w:w="0" w:type="auto"/>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（1）卖方在货物交付时应保证投标设备医疗器械产品注册证（CF</w:t>
            </w:r>
            <w:r>
              <w:rPr>
                <w:rFonts w:ascii="宋体" w:hAnsi="宋体" w:eastAsia="宋体" w:cs="Times New Roman"/>
                <w:sz w:val="24"/>
                <w:szCs w:val="24"/>
                <w:highlight w:val="none"/>
              </w:rPr>
              <w:t>DA</w:t>
            </w:r>
            <w:r>
              <w:rPr>
                <w:rFonts w:hint="eastAsia" w:ascii="宋体" w:hAnsi="宋体" w:eastAsia="宋体" w:cs="Times New Roman"/>
                <w:sz w:val="24"/>
                <w:szCs w:val="24"/>
                <w:highlight w:val="none"/>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.3</w:t>
            </w:r>
          </w:p>
        </w:tc>
        <w:tc>
          <w:tcPr>
            <w:tcW w:w="0" w:type="auto"/>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highlight w:val="none"/>
              </w:rPr>
            </w:pPr>
            <w:r>
              <w:rPr>
                <w:rFonts w:hint="eastAsia" w:ascii="宋体" w:hAnsi="宋体" w:eastAsia="宋体" w:cs="Times New Roman"/>
                <w:sz w:val="24"/>
                <w:szCs w:val="20"/>
                <w:highlight w:val="none"/>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lang w:val="en-US" w:eastAsia="zh-CN"/>
              </w:rPr>
              <w:t>5</w:t>
            </w:r>
          </w:p>
        </w:tc>
        <w:tc>
          <w:tcPr>
            <w:tcW w:w="0" w:type="auto"/>
            <w:vAlign w:val="center"/>
          </w:tcPr>
          <w:p>
            <w:pPr>
              <w:autoSpaceDE w:val="0"/>
              <w:autoSpaceDN w:val="0"/>
              <w:spacing w:line="360" w:lineRule="auto"/>
              <w:ind w:left="40" w:right="57"/>
              <w:rPr>
                <w:rFonts w:ascii="宋体" w:hAnsi="宋体" w:eastAsia="宋体" w:cs="Times New Roman"/>
                <w:sz w:val="24"/>
                <w:szCs w:val="20"/>
                <w:highlight w:val="none"/>
              </w:rPr>
            </w:pPr>
            <w:r>
              <w:rPr>
                <w:rFonts w:hint="eastAsia" w:ascii="宋体" w:hAnsi="宋体" w:eastAsia="宋体" w:cs="Times New Roman"/>
                <w:sz w:val="24"/>
                <w:szCs w:val="20"/>
                <w:highlight w:val="none"/>
              </w:rPr>
              <w:t>互惠协议的标题是“中华人民共和国和</w:t>
            </w:r>
            <w:r>
              <w:rPr>
                <w:rFonts w:hint="eastAsia" w:ascii="宋体" w:hAnsi="宋体" w:eastAsia="宋体" w:cs="Times New Roman"/>
                <w:sz w:val="24"/>
                <w:szCs w:val="20"/>
                <w:highlight w:val="none"/>
                <w:u w:val="single"/>
              </w:rPr>
              <w:t xml:space="preserve">               </w:t>
            </w:r>
            <w:r>
              <w:rPr>
                <w:rFonts w:hint="eastAsia" w:ascii="宋体" w:hAnsi="宋体" w:eastAsia="宋体" w:cs="Times New Roman"/>
                <w:sz w:val="24"/>
                <w:szCs w:val="20"/>
                <w:highlight w:val="none"/>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highlight w:val="none"/>
        </w:rPr>
      </w:pPr>
      <w:r>
        <w:rPr>
          <w:rFonts w:hint="eastAsia" w:ascii="宋体" w:hAnsi="宋体" w:eastAsia="宋体" w:cs="Times New Roman"/>
          <w:sz w:val="24"/>
          <w:szCs w:val="20"/>
          <w:highlight w:val="none"/>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highlight w:val="none"/>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highlight w:val="none"/>
        </w:rPr>
      </w:pPr>
      <w:bookmarkStart w:id="15" w:name="_Toc11326096"/>
      <w:r>
        <w:rPr>
          <w:rFonts w:hint="eastAsia" w:ascii="宋体" w:hAnsi="宋体" w:eastAsia="宋体" w:cs="Times New Roman"/>
          <w:b/>
          <w:sz w:val="24"/>
          <w:szCs w:val="24"/>
          <w:highlight w:val="none"/>
        </w:rPr>
        <w:t>包件一：</w:t>
      </w:r>
    </w:p>
    <w:p>
      <w:pPr>
        <w:pStyle w:val="54"/>
        <w:numPr>
          <w:ilvl w:val="0"/>
          <w:numId w:val="3"/>
        </w:numPr>
        <w:spacing w:line="360" w:lineRule="auto"/>
        <w:ind w:firstLineChars="0"/>
        <w:rPr>
          <w:rFonts w:ascii="宋体" w:hAnsi="宋体" w:eastAsia="宋体"/>
          <w:sz w:val="24"/>
          <w:szCs w:val="24"/>
          <w:highlight w:val="none"/>
        </w:rPr>
      </w:pPr>
      <w:r>
        <w:rPr>
          <w:rFonts w:hint="eastAsia" w:ascii="宋体" w:hAnsi="宋体" w:eastAsia="宋体" w:cs="Times New Roman"/>
          <w:sz w:val="24"/>
          <w:szCs w:val="24"/>
          <w:highlight w:val="none"/>
        </w:rPr>
        <w:t>设备名称及数量：</w:t>
      </w:r>
      <w:r>
        <w:rPr>
          <w:rFonts w:hint="eastAsia" w:ascii="宋体" w:hAnsi="宋体" w:eastAsia="宋体" w:cs="宋体"/>
          <w:kern w:val="0"/>
          <w:sz w:val="24"/>
          <w:szCs w:val="24"/>
          <w:highlight w:val="none"/>
        </w:rPr>
        <w:t>电脑中频治疗仪</w:t>
      </w:r>
      <w:r>
        <w:rPr>
          <w:rFonts w:hint="eastAsia" w:ascii="宋体" w:hAnsi="宋体" w:eastAsia="宋体" w:cs="Times New Roman"/>
          <w:sz w:val="24"/>
          <w:szCs w:val="24"/>
          <w:highlight w:val="none"/>
        </w:rPr>
        <w:t>/壹台</w:t>
      </w:r>
    </w:p>
    <w:p>
      <w:pPr>
        <w:pStyle w:val="54"/>
        <w:numPr>
          <w:ilvl w:val="0"/>
          <w:numId w:val="3"/>
        </w:numPr>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交货时间：签订合同后30天内</w:t>
      </w:r>
    </w:p>
    <w:p>
      <w:pPr>
        <w:pStyle w:val="54"/>
        <w:numPr>
          <w:ilvl w:val="0"/>
          <w:numId w:val="3"/>
        </w:numPr>
        <w:spacing w:line="360" w:lineRule="auto"/>
        <w:ind w:firstLineChars="0"/>
        <w:rPr>
          <w:rFonts w:ascii="宋体" w:hAnsi="宋体" w:eastAsia="宋体"/>
          <w:sz w:val="24"/>
          <w:szCs w:val="24"/>
          <w:highlight w:val="none"/>
        </w:rPr>
      </w:pPr>
      <w:r>
        <w:rPr>
          <w:rFonts w:hint="eastAsia" w:ascii="宋体" w:hAnsi="宋体" w:eastAsia="宋体" w:cs="宋体"/>
          <w:sz w:val="24"/>
          <w:szCs w:val="24"/>
          <w:highlight w:val="none"/>
        </w:rPr>
        <w:t>货到验收合格后1个月内买方支付货款的100%</w:t>
      </w:r>
    </w:p>
    <w:p>
      <w:pPr>
        <w:pStyle w:val="54"/>
        <w:spacing w:line="360" w:lineRule="auto"/>
        <w:ind w:firstLine="0" w:firstLineChars="0"/>
        <w:rPr>
          <w:rFonts w:ascii="宋体" w:hAnsi="宋体" w:eastAsia="宋体"/>
          <w:sz w:val="24"/>
          <w:szCs w:val="24"/>
          <w:highlight w:val="none"/>
        </w:rPr>
      </w:pPr>
      <w:r>
        <w:rPr>
          <w:rFonts w:hint="eastAsia" w:ascii="宋体" w:hAnsi="宋体" w:eastAsia="宋体"/>
          <w:sz w:val="24"/>
          <w:szCs w:val="24"/>
          <w:highlight w:val="none"/>
        </w:rPr>
        <w:t>四、交货地点：采购人指定地点</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五、技术指标要求：</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中频调制频率：1250～4000HZ</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输出强度0～99级逐步调节</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★屏幕：≥10英寸液晶触摸屏</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具治疗电极脱落自动报警功能</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输出波形：方波、锯齿波、三角波、棱形波、混合波等，导入为非对称波</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工作频率：主频范围900～9000Hz土15%，调频范国 1～440Hz 士15%</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脉冲宽度：0.02ms～1.2ms</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调制方式：占空比和幅度动态可调</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输出通道：2组电疗输出，2组热疗输出，2组脉冲输出</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单向波形整形电路：非对称单向脉冲输出产生的单项电场推近药物离子的定向运动，加速药物有效成分更好的渗透吸收</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★至少具备中频脉冲电导、按摩、刮痧、捏揉、锤敲、针灸、推拿、药物导入等多种仿生手法及综合治疗模式</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反峰抑制电路，保持输出波形规整</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输出强度：500Ω负载，输出电流0～100MA，最大脉冲电流≤100 MA（r.m.s）</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安全防护：自动检测，耐压≥4000V，</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ROMAN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II</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类、BF类</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★治疗处方中文显示，全程输出数据与操作信息由中文语音提示操作下一步和液晶屏显示</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定时功能：系統默认 30分钟，人工自由设定 10～60分钟</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热疗温度，温度可控制在25摄氏度～50摄氏度之间</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热疗电源： 25～50摄氏度逐級增加 低、中、高三档可调</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治疗设置：至少含有时间选择、处方选择、温度选择、强度选择</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治疗结束自动停止，语音提示治疗结束</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具有双重隔离、开机保护、电极保护、短路保护、声光提示等防护功能</w:t>
      </w:r>
    </w:p>
    <w:p>
      <w:pPr>
        <w:numPr>
          <w:ilvl w:val="0"/>
          <w:numId w:val="4"/>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★全保≥5年，出保后仅收取配件费用，且配件费用不超过市场价的8折</w:t>
      </w:r>
    </w:p>
    <w:p>
      <w:pPr>
        <w:spacing w:line="360" w:lineRule="auto"/>
        <w:ind w:left="959" w:leftChars="228" w:hanging="480" w:hangingChars="200"/>
        <w:rPr>
          <w:rFonts w:ascii="宋体" w:hAnsi="宋体" w:eastAsia="宋体" w:cs="宋体"/>
          <w:sz w:val="24"/>
          <w:szCs w:val="24"/>
          <w:highlight w:val="none"/>
        </w:rPr>
      </w:pPr>
    </w:p>
    <w:p>
      <w:pPr>
        <w:spacing w:line="360" w:lineRule="auto"/>
        <w:ind w:left="959" w:leftChars="228" w:hanging="480" w:hangingChars="200"/>
        <w:rPr>
          <w:rFonts w:ascii="宋体" w:hAnsi="宋体" w:eastAsia="宋体" w:cs="宋体"/>
          <w:sz w:val="24"/>
          <w:szCs w:val="24"/>
          <w:highlight w:val="none"/>
        </w:rPr>
      </w:pPr>
    </w:p>
    <w:p>
      <w:pPr>
        <w:spacing w:line="360" w:lineRule="auto"/>
        <w:ind w:left="959" w:leftChars="228" w:hanging="480" w:hangingChars="200"/>
        <w:rPr>
          <w:rFonts w:ascii="宋体" w:hAnsi="宋体" w:eastAsia="宋体" w:cs="宋体"/>
          <w:sz w:val="24"/>
          <w:szCs w:val="24"/>
          <w:highlight w:val="none"/>
        </w:rPr>
      </w:pPr>
    </w:p>
    <w:p>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包件二：</w:t>
      </w:r>
    </w:p>
    <w:p>
      <w:pPr>
        <w:pStyle w:val="54"/>
        <w:numPr>
          <w:ilvl w:val="0"/>
          <w:numId w:val="5"/>
        </w:numPr>
        <w:spacing w:line="360" w:lineRule="auto"/>
        <w:ind w:firstLineChars="0"/>
        <w:rPr>
          <w:rFonts w:ascii="宋体" w:hAnsi="宋体" w:eastAsia="宋体"/>
          <w:sz w:val="24"/>
          <w:szCs w:val="24"/>
          <w:highlight w:val="none"/>
        </w:rPr>
      </w:pPr>
      <w:r>
        <w:rPr>
          <w:rFonts w:hint="eastAsia" w:ascii="宋体" w:hAnsi="宋体" w:eastAsia="宋体" w:cs="Times New Roman"/>
          <w:sz w:val="24"/>
          <w:szCs w:val="24"/>
          <w:highlight w:val="none"/>
        </w:rPr>
        <w:t>设备名称及数量：肛肠熏蒸仪/贰台</w:t>
      </w:r>
    </w:p>
    <w:p>
      <w:pPr>
        <w:pStyle w:val="54"/>
        <w:numPr>
          <w:ilvl w:val="0"/>
          <w:numId w:val="5"/>
        </w:numPr>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交货时间：签订合同后30天内</w:t>
      </w:r>
    </w:p>
    <w:p>
      <w:pPr>
        <w:pStyle w:val="54"/>
        <w:numPr>
          <w:ilvl w:val="0"/>
          <w:numId w:val="5"/>
        </w:numPr>
        <w:spacing w:line="360" w:lineRule="auto"/>
        <w:ind w:firstLineChars="0"/>
        <w:rPr>
          <w:rFonts w:ascii="宋体" w:hAnsi="宋体" w:eastAsia="宋体"/>
          <w:sz w:val="24"/>
          <w:szCs w:val="24"/>
          <w:highlight w:val="none"/>
        </w:rPr>
      </w:pPr>
      <w:r>
        <w:rPr>
          <w:rFonts w:hint="eastAsia" w:ascii="宋体" w:hAnsi="宋体" w:eastAsia="宋体" w:cs="宋体"/>
          <w:sz w:val="24"/>
          <w:szCs w:val="24"/>
          <w:highlight w:val="none"/>
        </w:rPr>
        <w:t>货到验收合格后1个月内买方支付货款的100%</w:t>
      </w:r>
    </w:p>
    <w:p>
      <w:pPr>
        <w:pStyle w:val="54"/>
        <w:numPr>
          <w:ilvl w:val="0"/>
          <w:numId w:val="5"/>
        </w:numPr>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交货地点：采购人指定地点</w:t>
      </w:r>
    </w:p>
    <w:p>
      <w:pPr>
        <w:numPr>
          <w:ilvl w:val="0"/>
          <w:numId w:val="5"/>
        </w:numPr>
        <w:spacing w:line="360" w:lineRule="auto"/>
        <w:rPr>
          <w:rFonts w:ascii="宋体" w:hAnsi="宋体" w:eastAsia="宋体"/>
          <w:sz w:val="24"/>
          <w:szCs w:val="24"/>
          <w:highlight w:val="none"/>
        </w:rPr>
      </w:pPr>
      <w:r>
        <w:rPr>
          <w:rFonts w:hint="eastAsia" w:ascii="宋体" w:hAnsi="宋体" w:eastAsia="宋体"/>
          <w:sz w:val="24"/>
          <w:szCs w:val="24"/>
          <w:highlight w:val="none"/>
        </w:rPr>
        <w:t>技术指标要求：</w:t>
      </w:r>
    </w:p>
    <w:p>
      <w:pPr>
        <w:numPr>
          <w:ilvl w:val="0"/>
          <w:numId w:val="6"/>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额定功率：≤2000w</w:t>
      </w:r>
    </w:p>
    <w:p>
      <w:pPr>
        <w:numPr>
          <w:ilvl w:val="0"/>
          <w:numId w:val="6"/>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噪音：≤65db</w:t>
      </w:r>
    </w:p>
    <w:p>
      <w:pPr>
        <w:numPr>
          <w:ilvl w:val="0"/>
          <w:numId w:val="6"/>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安全类型：1类B型</w:t>
      </w:r>
    </w:p>
    <w:p>
      <w:pPr>
        <w:numPr>
          <w:ilvl w:val="0"/>
          <w:numId w:val="6"/>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工作环境：</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（1）湿度 ：5°C -40°C</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（2）相对湿度：≤80°C</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（3）大气压： 700 hpa - 1060hpa</w:t>
      </w:r>
    </w:p>
    <w:p>
      <w:pPr>
        <w:numPr>
          <w:ilvl w:val="0"/>
          <w:numId w:val="6"/>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具备中药熏蒸功能、温水冲洗、 热风烘干、 自动清洗管路、自动泵药功能等</w:t>
      </w:r>
    </w:p>
    <w:p>
      <w:pPr>
        <w:numPr>
          <w:ilvl w:val="0"/>
          <w:numId w:val="6"/>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纯水具备液箱自动进水功能</w:t>
      </w:r>
    </w:p>
    <w:p>
      <w:pPr>
        <w:numPr>
          <w:ilvl w:val="0"/>
          <w:numId w:val="6"/>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★药液箱与加热器完全分离，使用循环式加热方式</w:t>
      </w:r>
    </w:p>
    <w:p>
      <w:pPr>
        <w:numPr>
          <w:ilvl w:val="0"/>
          <w:numId w:val="6"/>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仪器可自动依序对患者进行熏疗、温水冲洗、热水吹干、等步骤</w:t>
      </w:r>
    </w:p>
    <w:p>
      <w:pPr>
        <w:numPr>
          <w:ilvl w:val="0"/>
          <w:numId w:val="6"/>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★熏疗温度：38-50°C连续可调，误差士2°C</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冲洗温度：30-37°C连续可调，误差士2°C</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烘干温度：40-50°C连续可调，误差士2°C</w:t>
      </w:r>
    </w:p>
    <w:p>
      <w:pPr>
        <w:numPr>
          <w:ilvl w:val="0"/>
          <w:numId w:val="6"/>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★一次性坐垫圈红外感应自动换垫，避免交叉感染</w:t>
      </w:r>
    </w:p>
    <w:p>
      <w:pPr>
        <w:numPr>
          <w:ilvl w:val="0"/>
          <w:numId w:val="6"/>
        </w:num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★全保≥5年，出保后仅收取配件费用，且配件费用不超过市场价的8折</w:t>
      </w:r>
    </w:p>
    <w:p>
      <w:pPr>
        <w:spacing w:line="360" w:lineRule="auto"/>
        <w:rPr>
          <w:rFonts w:ascii="宋体" w:hAnsi="宋体" w:eastAsia="宋体" w:cs="宋体"/>
          <w:color w:val="000000" w:themeColor="text1"/>
          <w:sz w:val="24"/>
          <w:szCs w:val="24"/>
          <w:highlight w:val="none"/>
          <w14:textFill>
            <w14:solidFill>
              <w14:schemeClr w14:val="tx1"/>
            </w14:solidFill>
          </w14:textFill>
        </w:rPr>
      </w:pPr>
    </w:p>
    <w:p>
      <w:pPr>
        <w:spacing w:line="360" w:lineRule="auto"/>
        <w:rPr>
          <w:rFonts w:ascii="宋体" w:hAnsi="宋体" w:eastAsia="宋体" w:cs="宋体"/>
          <w:color w:val="000000" w:themeColor="text1"/>
          <w:sz w:val="24"/>
          <w:szCs w:val="24"/>
          <w:highlight w:val="none"/>
          <w14:textFill>
            <w14:solidFill>
              <w14:schemeClr w14:val="tx1"/>
            </w14:solidFill>
          </w14:textFill>
        </w:rPr>
      </w:pPr>
    </w:p>
    <w:p>
      <w:pPr>
        <w:spacing w:line="360" w:lineRule="auto"/>
        <w:rPr>
          <w:rFonts w:ascii="宋体" w:hAnsi="宋体" w:eastAsia="宋体" w:cs="宋体"/>
          <w:b/>
          <w:bCs/>
          <w:sz w:val="24"/>
          <w:szCs w:val="24"/>
          <w:highlight w:val="none"/>
        </w:rPr>
      </w:pPr>
    </w:p>
    <w:p>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包件三：</w:t>
      </w:r>
    </w:p>
    <w:p>
      <w:pPr>
        <w:pStyle w:val="54"/>
        <w:numPr>
          <w:ilvl w:val="0"/>
          <w:numId w:val="7"/>
        </w:numPr>
        <w:spacing w:line="360" w:lineRule="auto"/>
        <w:ind w:firstLineChars="0"/>
        <w:rPr>
          <w:rFonts w:ascii="宋体" w:hAnsi="宋体" w:eastAsia="宋体"/>
          <w:sz w:val="24"/>
          <w:szCs w:val="24"/>
          <w:highlight w:val="none"/>
        </w:rPr>
      </w:pPr>
      <w:r>
        <w:rPr>
          <w:rFonts w:hint="eastAsia" w:ascii="宋体" w:hAnsi="宋体" w:eastAsia="宋体" w:cs="Times New Roman"/>
          <w:sz w:val="24"/>
          <w:szCs w:val="24"/>
          <w:highlight w:val="none"/>
        </w:rPr>
        <w:t>设备名称及数量：肛肠综合治疗仪/壹台</w:t>
      </w:r>
    </w:p>
    <w:p>
      <w:pPr>
        <w:pStyle w:val="54"/>
        <w:numPr>
          <w:ilvl w:val="0"/>
          <w:numId w:val="7"/>
        </w:numPr>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交货时间：签订合同后30天内</w:t>
      </w:r>
    </w:p>
    <w:p>
      <w:pPr>
        <w:pStyle w:val="54"/>
        <w:numPr>
          <w:ilvl w:val="0"/>
          <w:numId w:val="7"/>
        </w:numPr>
        <w:spacing w:line="360" w:lineRule="auto"/>
        <w:ind w:firstLineChars="0"/>
        <w:rPr>
          <w:rFonts w:ascii="宋体" w:hAnsi="宋体" w:eastAsia="宋体"/>
          <w:sz w:val="24"/>
          <w:szCs w:val="24"/>
          <w:highlight w:val="none"/>
        </w:rPr>
      </w:pPr>
      <w:r>
        <w:rPr>
          <w:rFonts w:hint="eastAsia" w:ascii="宋体" w:hAnsi="宋体" w:eastAsia="宋体" w:cs="宋体"/>
          <w:sz w:val="24"/>
          <w:szCs w:val="24"/>
          <w:highlight w:val="none"/>
        </w:rPr>
        <w:t>货到验收合格后1个月内买方支付货款的100%</w:t>
      </w:r>
    </w:p>
    <w:p>
      <w:pPr>
        <w:pStyle w:val="54"/>
        <w:numPr>
          <w:ilvl w:val="0"/>
          <w:numId w:val="7"/>
        </w:numPr>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交货地点：采购人指定地点</w:t>
      </w:r>
    </w:p>
    <w:p>
      <w:pPr>
        <w:numPr>
          <w:ilvl w:val="0"/>
          <w:numId w:val="7"/>
        </w:numPr>
        <w:spacing w:line="360" w:lineRule="auto"/>
        <w:rPr>
          <w:rFonts w:ascii="宋体" w:hAnsi="宋体" w:eastAsia="宋体"/>
          <w:sz w:val="24"/>
          <w:szCs w:val="24"/>
          <w:highlight w:val="none"/>
        </w:rPr>
      </w:pPr>
      <w:r>
        <w:rPr>
          <w:rFonts w:hint="eastAsia" w:ascii="宋体" w:hAnsi="宋体" w:eastAsia="宋体"/>
          <w:sz w:val="24"/>
          <w:szCs w:val="24"/>
          <w:highlight w:val="none"/>
        </w:rPr>
        <w:t>技术指标要求：</w:t>
      </w:r>
    </w:p>
    <w:p>
      <w:pPr>
        <w:pStyle w:val="54"/>
        <w:numPr>
          <w:ilvl w:val="0"/>
          <w:numId w:val="8"/>
        </w:numPr>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设备的输入功率：300VA±10%</w:t>
      </w:r>
    </w:p>
    <w:p>
      <w:pPr>
        <w:pStyle w:val="54"/>
        <w:numPr>
          <w:ilvl w:val="0"/>
          <w:numId w:val="8"/>
        </w:numPr>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★高频部分工作频率：1.2MHZ±0.01 MHZ</w:t>
      </w:r>
    </w:p>
    <w:p>
      <w:pPr>
        <w:pStyle w:val="54"/>
        <w:numPr>
          <w:ilvl w:val="0"/>
          <w:numId w:val="8"/>
        </w:numPr>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有高频电钳功能</w:t>
      </w:r>
    </w:p>
    <w:p>
      <w:pPr>
        <w:pStyle w:val="54"/>
        <w:numPr>
          <w:ilvl w:val="0"/>
          <w:numId w:val="8"/>
        </w:numPr>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★高频电钳高频部分双极输出功率为75W±20%(负载阻值50Ω)</w:t>
      </w:r>
    </w:p>
    <w:p>
      <w:pPr>
        <w:pStyle w:val="54"/>
        <w:numPr>
          <w:ilvl w:val="0"/>
          <w:numId w:val="8"/>
        </w:numPr>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采用高频电容场产生内源性热的原理，使出血的血管闭塞、粘和而不碳化，进而达到止血的目的</w:t>
      </w:r>
    </w:p>
    <w:p>
      <w:pPr>
        <w:pStyle w:val="54"/>
        <w:numPr>
          <w:ilvl w:val="0"/>
          <w:numId w:val="8"/>
        </w:numPr>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有双极止血镊功能</w:t>
      </w:r>
    </w:p>
    <w:p>
      <w:pPr>
        <w:pStyle w:val="54"/>
        <w:numPr>
          <w:ilvl w:val="0"/>
          <w:numId w:val="8"/>
        </w:numPr>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★双极止血镊高频部分双极输出功率：75W±20%(负载阻值50Ω)</w:t>
      </w:r>
    </w:p>
    <w:p>
      <w:pPr>
        <w:pStyle w:val="54"/>
        <w:numPr>
          <w:ilvl w:val="0"/>
          <w:numId w:val="8"/>
        </w:numPr>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采用高频电容场产生内源性热的原理，使治疗部位组织干结、血管闭合，继而坏死脱落，达到治疗目的</w:t>
      </w:r>
    </w:p>
    <w:p>
      <w:pPr>
        <w:pStyle w:val="54"/>
        <w:numPr>
          <w:ilvl w:val="0"/>
          <w:numId w:val="8"/>
        </w:numPr>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电刀功能：</w:t>
      </w:r>
    </w:p>
    <w:p>
      <w:pPr>
        <w:pStyle w:val="54"/>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（1）电刀高频部分单极最大输出功率：35W±20%(负载阻值2500Ω)</w:t>
      </w:r>
    </w:p>
    <w:p>
      <w:pPr>
        <w:pStyle w:val="54"/>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（2）当高频部分双极输出网络开路时，有声响警报</w:t>
      </w:r>
    </w:p>
    <w:p>
      <w:pPr>
        <w:pStyle w:val="54"/>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（3）防电击类型：</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ROMAN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I</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类BF型应用部分</w:t>
      </w:r>
    </w:p>
    <w:p>
      <w:pPr>
        <w:pStyle w:val="54"/>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（4）工作制：间歇加载连续运行</w:t>
      </w:r>
    </w:p>
    <w:p>
      <w:pPr>
        <w:numPr>
          <w:ilvl w:val="0"/>
          <w:numId w:val="8"/>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★全保≥5年，出保后仅收取配件费用，且配件费用不超过市场价的8折</w:t>
      </w:r>
    </w:p>
    <w:p>
      <w:pPr>
        <w:spacing w:line="360" w:lineRule="auto"/>
        <w:rPr>
          <w:rFonts w:ascii="宋体" w:hAnsi="宋体" w:eastAsia="宋体" w:cs="宋体"/>
          <w:color w:val="000000" w:themeColor="text1"/>
          <w:sz w:val="24"/>
          <w:szCs w:val="24"/>
          <w:highlight w:val="none"/>
          <w14:textFill>
            <w14:solidFill>
              <w14:schemeClr w14:val="tx1"/>
            </w14:solidFill>
          </w14:textFill>
        </w:rPr>
      </w:pPr>
    </w:p>
    <w:p>
      <w:pPr>
        <w:spacing w:line="360" w:lineRule="auto"/>
        <w:rPr>
          <w:rFonts w:ascii="宋体" w:hAnsi="宋体" w:eastAsia="宋体" w:cs="宋体"/>
          <w:color w:val="000000" w:themeColor="text1"/>
          <w:sz w:val="24"/>
          <w:szCs w:val="24"/>
          <w:highlight w:val="none"/>
          <w14:textFill>
            <w14:solidFill>
              <w14:schemeClr w14:val="tx1"/>
            </w14:solidFill>
          </w14:textFill>
        </w:rPr>
      </w:pPr>
    </w:p>
    <w:p>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包件四：</w:t>
      </w:r>
    </w:p>
    <w:p>
      <w:pPr>
        <w:pStyle w:val="54"/>
        <w:numPr>
          <w:ilvl w:val="0"/>
          <w:numId w:val="9"/>
        </w:numPr>
        <w:spacing w:line="360" w:lineRule="auto"/>
        <w:ind w:firstLineChars="0"/>
        <w:rPr>
          <w:rFonts w:ascii="宋体" w:hAnsi="宋体" w:eastAsia="宋体"/>
          <w:sz w:val="24"/>
          <w:szCs w:val="24"/>
          <w:highlight w:val="none"/>
        </w:rPr>
      </w:pPr>
      <w:r>
        <w:rPr>
          <w:rFonts w:hint="eastAsia" w:ascii="宋体" w:hAnsi="宋体" w:eastAsia="宋体" w:cs="Times New Roman"/>
          <w:sz w:val="24"/>
          <w:szCs w:val="24"/>
          <w:highlight w:val="none"/>
        </w:rPr>
        <w:t>设备名称及数量：无影灯/肆台</w:t>
      </w:r>
    </w:p>
    <w:p>
      <w:pPr>
        <w:pStyle w:val="54"/>
        <w:numPr>
          <w:ilvl w:val="0"/>
          <w:numId w:val="9"/>
        </w:numPr>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交货时间：签订合同后30天内</w:t>
      </w:r>
    </w:p>
    <w:p>
      <w:pPr>
        <w:pStyle w:val="54"/>
        <w:numPr>
          <w:ilvl w:val="0"/>
          <w:numId w:val="9"/>
        </w:numPr>
        <w:spacing w:line="360" w:lineRule="auto"/>
        <w:ind w:firstLineChars="0"/>
        <w:rPr>
          <w:rFonts w:ascii="宋体" w:hAnsi="宋体" w:eastAsia="宋体"/>
          <w:sz w:val="24"/>
          <w:szCs w:val="24"/>
          <w:highlight w:val="none"/>
        </w:rPr>
      </w:pPr>
      <w:r>
        <w:rPr>
          <w:rFonts w:hint="eastAsia" w:ascii="宋体" w:hAnsi="宋体" w:eastAsia="宋体" w:cs="宋体"/>
          <w:sz w:val="24"/>
          <w:szCs w:val="24"/>
          <w:highlight w:val="none"/>
        </w:rPr>
        <w:t>货到验收合格后1个月内买方支付货款的100%</w:t>
      </w:r>
    </w:p>
    <w:p>
      <w:pPr>
        <w:pStyle w:val="54"/>
        <w:numPr>
          <w:ilvl w:val="0"/>
          <w:numId w:val="9"/>
        </w:numPr>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交货地点：采购人指定地点</w:t>
      </w:r>
    </w:p>
    <w:p>
      <w:pPr>
        <w:numPr>
          <w:ilvl w:val="0"/>
          <w:numId w:val="9"/>
        </w:numPr>
        <w:spacing w:line="360" w:lineRule="auto"/>
        <w:rPr>
          <w:rFonts w:ascii="宋体" w:hAnsi="宋体" w:eastAsia="宋体"/>
          <w:sz w:val="24"/>
          <w:szCs w:val="24"/>
          <w:highlight w:val="none"/>
        </w:rPr>
      </w:pPr>
      <w:r>
        <w:rPr>
          <w:rFonts w:hint="eastAsia" w:ascii="宋体" w:hAnsi="宋体" w:eastAsia="宋体"/>
          <w:sz w:val="24"/>
          <w:szCs w:val="24"/>
          <w:highlight w:val="none"/>
        </w:rPr>
        <w:t>技术指标要求：</w:t>
      </w:r>
    </w:p>
    <w:p>
      <w:pPr>
        <w:numPr>
          <w:ilvl w:val="0"/>
          <w:numId w:val="10"/>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★光源采用LED灯珠，光源寿命≥5万小时</w:t>
      </w:r>
    </w:p>
    <w:p>
      <w:pPr>
        <w:numPr>
          <w:ilvl w:val="0"/>
          <w:numId w:val="10"/>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采用无极调光，0～100 档旋钮无极调光，彩色点阵液晶屏显示亮度/色温，亮度/色温记忆功能</w:t>
      </w:r>
    </w:p>
    <w:p>
      <w:pPr>
        <w:numPr>
          <w:ilvl w:val="0"/>
          <w:numId w:val="10"/>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灯头直径≥500 mm， 照度在40000～120000Lx之间可调</w:t>
      </w:r>
    </w:p>
    <w:p>
      <w:pPr>
        <w:numPr>
          <w:ilvl w:val="0"/>
          <w:numId w:val="10"/>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色温4000～5000K 可调，显色指数 85～95%可调。</w:t>
      </w:r>
    </w:p>
    <w:p>
      <w:pPr>
        <w:numPr>
          <w:ilvl w:val="0"/>
          <w:numId w:val="10"/>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标配手动机械调节光斑直径大小 120～300mm</w:t>
      </w:r>
    </w:p>
    <w:p>
      <w:pPr>
        <w:numPr>
          <w:ilvl w:val="0"/>
          <w:numId w:val="10"/>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具有深腔照明调节功能，照明深度≥1000 mm</w:t>
      </w:r>
    </w:p>
    <w:p>
      <w:pPr>
        <w:numPr>
          <w:ilvl w:val="0"/>
          <w:numId w:val="10"/>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手术视野温升≤2摄氏度</w:t>
      </w:r>
    </w:p>
    <w:p>
      <w:pPr>
        <w:numPr>
          <w:ilvl w:val="0"/>
          <w:numId w:val="10"/>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★灯头采用≥48颗LED 光源，分为多个光源组，每组光源由 CPU 单独控制，任意一组失效不影响整体使用</w:t>
      </w:r>
    </w:p>
    <w:p>
      <w:pPr>
        <w:numPr>
          <w:ilvl w:val="0"/>
          <w:numId w:val="10"/>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内部光源板使用 ABS+铝基板的结构</w:t>
      </w:r>
    </w:p>
    <w:p>
      <w:pPr>
        <w:numPr>
          <w:ilvl w:val="0"/>
          <w:numId w:val="10"/>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★独有的恒流驱动设计，在摄像环境下无频闪</w:t>
      </w:r>
    </w:p>
    <w:p>
      <w:pPr>
        <w:numPr>
          <w:ilvl w:val="0"/>
          <w:numId w:val="10"/>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消毒手柄内置卡扣 360度可拆装，可做高温高压消毒</w:t>
      </w:r>
    </w:p>
    <w:p>
      <w:pPr>
        <w:numPr>
          <w:ilvl w:val="0"/>
          <w:numId w:val="10"/>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吊装延长架采用圆管设计</w:t>
      </w:r>
    </w:p>
    <w:p>
      <w:pPr>
        <w:numPr>
          <w:ilvl w:val="0"/>
          <w:numId w:val="10"/>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平衡系统采用方臂，外观整体 ABS 材质，具有三路导电环、公母对插旋转导电系統</w:t>
      </w:r>
    </w:p>
    <w:p>
      <w:pPr>
        <w:numPr>
          <w:ilvl w:val="0"/>
          <w:numId w:val="10"/>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灯头采用一次成型密闭流线型铝合金材料设计和喷涂工艺，外观无螺丝、耐腐蚀、易于清洁，灯头整体厚度≤150mm</w:t>
      </w:r>
    </w:p>
    <w:p>
      <w:pPr>
        <w:numPr>
          <w:ilvl w:val="0"/>
          <w:numId w:val="1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★全保≥5年，出保后仅收取配件费用，且配件费用不超过市场价的8折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numPr>
          <w:ilvl w:val="0"/>
          <w:numId w:val="0"/>
        </w:numPr>
        <w:spacing w:line="360" w:lineRule="auto"/>
        <w:ind w:leftChars="0"/>
        <w:rPr>
          <w:rFonts w:ascii="宋体" w:hAnsi="宋体" w:eastAsia="宋体"/>
          <w:b/>
          <w:bCs/>
          <w:sz w:val="24"/>
          <w:szCs w:val="24"/>
          <w:highlight w:val="none"/>
        </w:rPr>
      </w:pPr>
    </w:p>
    <w:p>
      <w:pPr>
        <w:numPr>
          <w:ilvl w:val="0"/>
          <w:numId w:val="0"/>
        </w:numPr>
        <w:spacing w:line="360" w:lineRule="auto"/>
        <w:ind w:leftChars="0"/>
        <w:rPr>
          <w:rFonts w:ascii="宋体" w:hAnsi="宋体" w:eastAsia="宋体"/>
          <w:b/>
          <w:bCs/>
          <w:sz w:val="24"/>
          <w:szCs w:val="24"/>
          <w:highlight w:val="none"/>
        </w:rPr>
      </w:pPr>
    </w:p>
    <w:p>
      <w:pPr>
        <w:spacing w:line="360" w:lineRule="auto"/>
        <w:ind w:left="480" w:hanging="480" w:hangingChars="200"/>
        <w:rPr>
          <w:rFonts w:hint="eastAsia" w:ascii="宋体" w:hAnsi="宋体" w:eastAsia="宋体" w:cs="宋体"/>
          <w:kern w:val="0"/>
          <w:sz w:val="24"/>
          <w:szCs w:val="24"/>
          <w:highlight w:val="none"/>
        </w:rPr>
      </w:pPr>
    </w:p>
    <w:p>
      <w:pPr>
        <w:spacing w:line="360" w:lineRule="auto"/>
        <w:ind w:left="480" w:hanging="480" w:hangingChars="200"/>
        <w:rPr>
          <w:rFonts w:hint="eastAsia" w:ascii="宋体" w:hAnsi="宋体" w:eastAsia="宋体" w:cs="宋体"/>
          <w:kern w:val="0"/>
          <w:sz w:val="24"/>
          <w:szCs w:val="24"/>
          <w:highlight w:val="none"/>
        </w:rPr>
      </w:pPr>
    </w:p>
    <w:p>
      <w:pPr>
        <w:widowControl w:val="0"/>
        <w:numPr>
          <w:ilvl w:val="0"/>
          <w:numId w:val="0"/>
        </w:numPr>
        <w:spacing w:line="360" w:lineRule="auto"/>
        <w:jc w:val="left"/>
        <w:rPr>
          <w:rFonts w:hint="eastAsia" w:ascii="宋体" w:hAnsi="宋体" w:eastAsia="宋体" w:cstheme="minorBidi"/>
          <w:b w:val="0"/>
          <w:bCs w:val="0"/>
          <w:kern w:val="2"/>
          <w:sz w:val="24"/>
          <w:szCs w:val="24"/>
          <w:highlight w:val="none"/>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highlight w:val="none"/>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highlight w:val="none"/>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highlight w:val="none"/>
          <w:lang w:val="en-US" w:eastAsia="zh-CN" w:bidi="ar-SA"/>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highlight w:val="none"/>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highlight w:val="none"/>
        </w:rPr>
      </w:pPr>
      <w:r>
        <w:rPr>
          <w:rFonts w:hint="eastAsia" w:ascii="宋体" w:hAnsi="宋体" w:eastAsia="宋体" w:cs="Times New Roman"/>
          <w:b/>
          <w:sz w:val="28"/>
          <w:szCs w:val="20"/>
          <w:highlight w:val="none"/>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highlight w:val="none"/>
        </w:rPr>
      </w:pPr>
    </w:p>
    <w:p>
      <w:pPr>
        <w:spacing w:line="360" w:lineRule="auto"/>
        <w:rPr>
          <w:rFonts w:ascii="宋体" w:hAnsi="宋体" w:eastAsia="宋体" w:cs="Times New Roman"/>
          <w:sz w:val="24"/>
          <w:szCs w:val="20"/>
          <w:highlight w:val="none"/>
        </w:rPr>
      </w:pPr>
      <w:bookmarkStart w:id="16" w:name="_Hlk72236197"/>
      <w:r>
        <w:rPr>
          <w:rFonts w:hint="eastAsia" w:ascii="宋体" w:hAnsi="宋体" w:eastAsia="宋体" w:cs="Times New Roman"/>
          <w:sz w:val="24"/>
          <w:szCs w:val="20"/>
          <w:highlight w:val="none"/>
        </w:rPr>
        <w:t>上海市中医医院</w:t>
      </w:r>
      <w:bookmarkEnd w:id="16"/>
      <w:r>
        <w:rPr>
          <w:rFonts w:hint="eastAsia" w:ascii="宋体" w:hAnsi="宋体" w:eastAsia="宋体" w:cs="Times New Roman"/>
          <w:sz w:val="24"/>
          <w:szCs w:val="20"/>
          <w:highlight w:val="none"/>
        </w:rPr>
        <w:t>：</w:t>
      </w:r>
    </w:p>
    <w:p>
      <w:pPr>
        <w:spacing w:line="360" w:lineRule="auto"/>
        <w:rPr>
          <w:rFonts w:ascii="宋体" w:hAnsi="宋体" w:eastAsia="宋体" w:cs="Times New Roman"/>
          <w:sz w:val="24"/>
          <w:szCs w:val="20"/>
          <w:highlight w:val="none"/>
        </w:rPr>
      </w:pPr>
    </w:p>
    <w:p>
      <w:pPr>
        <w:spacing w:line="360" w:lineRule="auto"/>
        <w:rPr>
          <w:rFonts w:ascii="宋体" w:hAnsi="宋体" w:eastAsia="宋体" w:cs="Times New Roman"/>
          <w:sz w:val="24"/>
          <w:szCs w:val="20"/>
          <w:highlight w:val="none"/>
        </w:rPr>
      </w:pPr>
    </w:p>
    <w:p>
      <w:pPr>
        <w:spacing w:beforeLines="50" w:afterLines="50"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u w:val="single"/>
        </w:rPr>
        <w:t xml:space="preserve">      （投标人名称）     </w:t>
      </w:r>
      <w:r>
        <w:rPr>
          <w:rFonts w:hint="eastAsia" w:ascii="宋体" w:hAnsi="宋体" w:eastAsia="宋体" w:cs="Times New Roman"/>
          <w:sz w:val="24"/>
          <w:szCs w:val="20"/>
          <w:highlight w:val="none"/>
        </w:rPr>
        <w:t xml:space="preserve">参加贵公司组织的 </w:t>
      </w:r>
      <w:r>
        <w:rPr>
          <w:rFonts w:hint="eastAsia" w:ascii="宋体" w:hAnsi="宋体" w:eastAsia="宋体" w:cs="Times New Roman"/>
          <w:sz w:val="24"/>
          <w:szCs w:val="20"/>
          <w:highlight w:val="none"/>
          <w:u w:val="single"/>
        </w:rPr>
        <w:t xml:space="preserve"> （项目名称） </w:t>
      </w:r>
      <w:r>
        <w:rPr>
          <w:rFonts w:hint="eastAsia" w:ascii="宋体" w:hAnsi="宋体" w:eastAsia="宋体" w:cs="Times New Roman"/>
          <w:sz w:val="24"/>
          <w:szCs w:val="20"/>
          <w:highlight w:val="none"/>
        </w:rPr>
        <w:t>项目的投标。在此郑重声明：我公司参加政府采购活动前三年内，在经营活动中没有重大违法记录。</w:t>
      </w:r>
    </w:p>
    <w:p>
      <w:pPr>
        <w:spacing w:line="360" w:lineRule="auto"/>
        <w:rPr>
          <w:rFonts w:ascii="宋体" w:hAnsi="宋体" w:eastAsia="宋体" w:cs="Times New Roman"/>
          <w:sz w:val="24"/>
          <w:szCs w:val="20"/>
          <w:highlight w:val="none"/>
        </w:rPr>
      </w:pPr>
    </w:p>
    <w:p>
      <w:pPr>
        <w:spacing w:line="360" w:lineRule="auto"/>
        <w:rPr>
          <w:rFonts w:ascii="宋体" w:hAnsi="宋体" w:eastAsia="宋体" w:cs="Times New Roman"/>
          <w:sz w:val="24"/>
          <w:szCs w:val="20"/>
          <w:highlight w:val="none"/>
        </w:rPr>
      </w:pP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投标人代表签字：______________</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日期：________________________</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投标人名称：__________________</w:t>
      </w:r>
    </w:p>
    <w:p>
      <w:pPr>
        <w:spacing w:line="360" w:lineRule="auto"/>
        <w:jc w:val="left"/>
        <w:rPr>
          <w:rFonts w:ascii="宋体" w:hAnsi="宋体" w:eastAsia="宋体" w:cs="Times New Roman"/>
          <w:sz w:val="24"/>
          <w:szCs w:val="20"/>
          <w:highlight w:val="none"/>
        </w:rPr>
        <w:sectPr>
          <w:pgSz w:w="11907" w:h="16840"/>
          <w:pgMar w:top="1418" w:right="1302" w:bottom="1242" w:left="1260" w:header="567" w:footer="567" w:gutter="0"/>
          <w:cols w:space="425" w:num="1"/>
        </w:sectPr>
      </w:pPr>
      <w:r>
        <w:rPr>
          <w:rFonts w:hint="eastAsia" w:ascii="宋体" w:hAnsi="宋体" w:eastAsia="宋体" w:cs="Times New Roman"/>
          <w:sz w:val="24"/>
          <w:szCs w:val="20"/>
          <w:highlight w:val="none"/>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bookmarkStart w:id="17" w:name="_Toc11326097"/>
      <w:r>
        <w:rPr>
          <w:rFonts w:hint="eastAsia" w:ascii="宋体" w:hAnsi="宋体" w:eastAsia="宋体" w:cs="Times New Roman"/>
          <w:b/>
          <w:sz w:val="28"/>
          <w:szCs w:val="20"/>
          <w:highlight w:val="none"/>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highlight w:val="none"/>
        </w:rPr>
      </w:pPr>
    </w:p>
    <w:p>
      <w:pPr>
        <w:spacing w:beforeLines="50" w:afterLines="50"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上海市中医医院：</w:t>
      </w:r>
    </w:p>
    <w:p>
      <w:pPr>
        <w:spacing w:beforeLines="50" w:afterLines="50" w:line="360" w:lineRule="auto"/>
        <w:jc w:val="left"/>
        <w:rPr>
          <w:rFonts w:ascii="宋体" w:hAnsi="宋体" w:eastAsia="宋体" w:cs="Times New Roman"/>
          <w:sz w:val="24"/>
          <w:szCs w:val="24"/>
          <w:highlight w:val="none"/>
        </w:rPr>
      </w:pPr>
    </w:p>
    <w:p>
      <w:pPr>
        <w:spacing w:beforeLines="50" w:afterLines="50"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    </w:t>
      </w:r>
      <w:r>
        <w:rPr>
          <w:rFonts w:hint="eastAsia" w:ascii="宋体" w:hAnsi="宋体" w:eastAsia="宋体" w:cs="Times New Roman"/>
          <w:sz w:val="24"/>
          <w:szCs w:val="24"/>
          <w:highlight w:val="none"/>
          <w:u w:val="single"/>
        </w:rPr>
        <w:t xml:space="preserve">      （投标人名称）     </w:t>
      </w:r>
      <w:r>
        <w:rPr>
          <w:rFonts w:hint="eastAsia" w:ascii="宋体" w:hAnsi="宋体" w:eastAsia="宋体" w:cs="Times New Roman"/>
          <w:sz w:val="24"/>
          <w:szCs w:val="24"/>
          <w:highlight w:val="none"/>
        </w:rPr>
        <w:t>参加贵公司组织的</w:t>
      </w:r>
      <w:r>
        <w:rPr>
          <w:rFonts w:hint="eastAsia" w:ascii="宋体" w:hAnsi="宋体" w:eastAsia="宋体" w:cs="Times New Roman"/>
          <w:sz w:val="24"/>
          <w:szCs w:val="24"/>
          <w:highlight w:val="none"/>
          <w:u w:val="single"/>
        </w:rPr>
        <w:t xml:space="preserve">      （项目名称）     </w:t>
      </w:r>
      <w:r>
        <w:rPr>
          <w:rFonts w:hint="eastAsia" w:ascii="宋体" w:hAnsi="宋体" w:eastAsia="宋体" w:cs="Times New Roman"/>
          <w:sz w:val="24"/>
          <w:szCs w:val="24"/>
          <w:highlight w:val="none"/>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    特此声明。</w:t>
      </w:r>
    </w:p>
    <w:p>
      <w:pPr>
        <w:spacing w:beforeLines="50" w:afterLines="50" w:line="360" w:lineRule="auto"/>
        <w:jc w:val="left"/>
        <w:rPr>
          <w:rFonts w:ascii="宋体" w:hAnsi="宋体" w:eastAsia="宋体" w:cs="Times New Roman"/>
          <w:sz w:val="24"/>
          <w:szCs w:val="24"/>
          <w:highlight w:val="none"/>
        </w:rPr>
      </w:pPr>
      <w:r>
        <w:rPr>
          <w:rFonts w:hint="eastAsia" w:ascii="宋体" w:hAnsi="宋体" w:eastAsia="宋体" w:cs="Arial"/>
          <w:kern w:val="0"/>
          <w:sz w:val="24"/>
          <w:szCs w:val="24"/>
          <w:highlight w:val="none"/>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highlight w:val="none"/>
        </w:rPr>
      </w:pPr>
    </w:p>
    <w:p>
      <w:pPr>
        <w:spacing w:line="360" w:lineRule="auto"/>
        <w:jc w:val="left"/>
        <w:rPr>
          <w:rFonts w:ascii="宋体" w:hAnsi="宋体" w:eastAsia="宋体" w:cs="Times New Roman"/>
          <w:sz w:val="24"/>
          <w:szCs w:val="24"/>
          <w:highlight w:val="none"/>
        </w:rPr>
      </w:pP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投标人代表签字</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______________</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日期:__________________________  </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投标人名称</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 xml:space="preserve">______________________ </w:t>
      </w:r>
    </w:p>
    <w:p>
      <w:pPr>
        <w:spacing w:line="360" w:lineRule="auto"/>
        <w:jc w:val="left"/>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公章：</w:t>
      </w:r>
      <w:r>
        <w:rPr>
          <w:rFonts w:hint="eastAsia" w:ascii="宋体" w:hAnsi="宋体" w:eastAsia="宋体" w:cs="Times New Roman"/>
          <w:sz w:val="24"/>
          <w:szCs w:val="24"/>
          <w:highlight w:val="none"/>
          <w:u w:val="single"/>
        </w:rPr>
        <w:t xml:space="preserve">              </w:t>
      </w: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09757"/>
    <w:multiLevelType w:val="singleLevel"/>
    <w:tmpl w:val="96209757"/>
    <w:lvl w:ilvl="0" w:tentative="0">
      <w:start w:val="1"/>
      <w:numFmt w:val="decimal"/>
      <w:lvlText w:val="%1."/>
      <w:lvlJc w:val="left"/>
      <w:pPr>
        <w:ind w:left="425" w:hanging="425"/>
      </w:pPr>
      <w:rPr>
        <w:rFonts w:hint="default"/>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A2497EC4"/>
    <w:multiLevelType w:val="singleLevel"/>
    <w:tmpl w:val="A2497EC4"/>
    <w:lvl w:ilvl="0" w:tentative="0">
      <w:start w:val="1"/>
      <w:numFmt w:val="chineseCounting"/>
      <w:suff w:val="nothing"/>
      <w:lvlText w:val="%1、"/>
      <w:lvlJc w:val="left"/>
      <w:pPr>
        <w:ind w:left="-420" w:firstLine="420"/>
      </w:pPr>
      <w:rPr>
        <w:rFonts w:hint="eastAsia"/>
      </w:rPr>
    </w:lvl>
  </w:abstractNum>
  <w:abstractNum w:abstractNumId="3">
    <w:nsid w:val="F8501FE7"/>
    <w:multiLevelType w:val="singleLevel"/>
    <w:tmpl w:val="F8501FE7"/>
    <w:lvl w:ilvl="0" w:tentative="0">
      <w:start w:val="1"/>
      <w:numFmt w:val="decimal"/>
      <w:lvlText w:val="%1."/>
      <w:lvlJc w:val="left"/>
      <w:pPr>
        <w:ind w:left="425" w:hanging="425"/>
      </w:pPr>
      <w:rPr>
        <w:rFonts w:hint="default"/>
      </w:rPr>
    </w:lvl>
  </w:abstractNum>
  <w:abstractNum w:abstractNumId="4">
    <w:nsid w:val="196A3239"/>
    <w:multiLevelType w:val="singleLevel"/>
    <w:tmpl w:val="196A3239"/>
    <w:lvl w:ilvl="0" w:tentative="0">
      <w:start w:val="1"/>
      <w:numFmt w:val="chineseCounting"/>
      <w:suff w:val="nothing"/>
      <w:lvlText w:val="%1、"/>
      <w:lvlJc w:val="left"/>
      <w:pPr>
        <w:ind w:left="-420" w:firstLine="420"/>
      </w:pPr>
      <w:rPr>
        <w:rFonts w:hint="eastAsia"/>
      </w:rPr>
    </w:lvl>
  </w:abstractNum>
  <w:abstractNum w:abstractNumId="5">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7">
    <w:nsid w:val="53D9E059"/>
    <w:multiLevelType w:val="singleLevel"/>
    <w:tmpl w:val="53D9E059"/>
    <w:lvl w:ilvl="0" w:tentative="0">
      <w:start w:val="1"/>
      <w:numFmt w:val="decimal"/>
      <w:lvlText w:val="%1."/>
      <w:lvlJc w:val="left"/>
      <w:pPr>
        <w:ind w:left="425" w:hanging="425"/>
      </w:pPr>
      <w:rPr>
        <w:rFonts w:hint="default"/>
      </w:rPr>
    </w:lvl>
  </w:abstractNum>
  <w:abstractNum w:abstractNumId="8">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6B9D9C08"/>
    <w:multiLevelType w:val="singleLevel"/>
    <w:tmpl w:val="6B9D9C08"/>
    <w:lvl w:ilvl="0" w:tentative="0">
      <w:start w:val="1"/>
      <w:numFmt w:val="decimal"/>
      <w:lvlText w:val="%1."/>
      <w:lvlJc w:val="left"/>
      <w:pPr>
        <w:ind w:left="425" w:hanging="425"/>
      </w:pPr>
      <w:rPr>
        <w:rFonts w:hint="default"/>
      </w:rPr>
    </w:lvl>
  </w:abstractNum>
  <w:num w:numId="1">
    <w:abstractNumId w:val="8"/>
  </w:num>
  <w:num w:numId="2">
    <w:abstractNumId w:val="1"/>
  </w:num>
  <w:num w:numId="3">
    <w:abstractNumId w:val="5"/>
  </w:num>
  <w:num w:numId="4">
    <w:abstractNumId w:val="3"/>
  </w:num>
  <w:num w:numId="5">
    <w:abstractNumId w:val="6"/>
  </w:num>
  <w:num w:numId="6">
    <w:abstractNumId w:val="9"/>
  </w:num>
  <w:num w:numId="7">
    <w:abstractNumId w:val="4"/>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57F5D"/>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8FD6983"/>
    <w:rsid w:val="0A7753AE"/>
    <w:rsid w:val="0BF00DA4"/>
    <w:rsid w:val="0EF02652"/>
    <w:rsid w:val="129544B2"/>
    <w:rsid w:val="15F709EE"/>
    <w:rsid w:val="19DC576F"/>
    <w:rsid w:val="1A5F06D7"/>
    <w:rsid w:val="1DBC650F"/>
    <w:rsid w:val="1E4F1A12"/>
    <w:rsid w:val="206F557C"/>
    <w:rsid w:val="227A499A"/>
    <w:rsid w:val="22AA393E"/>
    <w:rsid w:val="250F3C28"/>
    <w:rsid w:val="253908C1"/>
    <w:rsid w:val="271D349F"/>
    <w:rsid w:val="2B2963D3"/>
    <w:rsid w:val="2E287082"/>
    <w:rsid w:val="2F2C5770"/>
    <w:rsid w:val="34EE008B"/>
    <w:rsid w:val="35805CB4"/>
    <w:rsid w:val="36CA3141"/>
    <w:rsid w:val="38593614"/>
    <w:rsid w:val="39301A51"/>
    <w:rsid w:val="3BF15DAC"/>
    <w:rsid w:val="3DA4759C"/>
    <w:rsid w:val="3DFE745B"/>
    <w:rsid w:val="3E2B711B"/>
    <w:rsid w:val="3E2D1012"/>
    <w:rsid w:val="409018AF"/>
    <w:rsid w:val="412709D8"/>
    <w:rsid w:val="41413341"/>
    <w:rsid w:val="41627833"/>
    <w:rsid w:val="416D419A"/>
    <w:rsid w:val="421443FB"/>
    <w:rsid w:val="427239F0"/>
    <w:rsid w:val="43426C26"/>
    <w:rsid w:val="44E76487"/>
    <w:rsid w:val="4670160F"/>
    <w:rsid w:val="49B25227"/>
    <w:rsid w:val="4B863339"/>
    <w:rsid w:val="4D25098E"/>
    <w:rsid w:val="4D77632F"/>
    <w:rsid w:val="4E7C3473"/>
    <w:rsid w:val="501778F7"/>
    <w:rsid w:val="52C021AE"/>
    <w:rsid w:val="52D01FDF"/>
    <w:rsid w:val="5371335C"/>
    <w:rsid w:val="5379230B"/>
    <w:rsid w:val="5389510F"/>
    <w:rsid w:val="56E97E3E"/>
    <w:rsid w:val="59A549DC"/>
    <w:rsid w:val="5CF501E7"/>
    <w:rsid w:val="5E4E4400"/>
    <w:rsid w:val="5E5E67D4"/>
    <w:rsid w:val="60BA47AE"/>
    <w:rsid w:val="63D92820"/>
    <w:rsid w:val="64917820"/>
    <w:rsid w:val="685F15E7"/>
    <w:rsid w:val="6A0856B9"/>
    <w:rsid w:val="6CE12E64"/>
    <w:rsid w:val="6CEA0C57"/>
    <w:rsid w:val="6D024D8C"/>
    <w:rsid w:val="6ECC7A0D"/>
    <w:rsid w:val="70EA395C"/>
    <w:rsid w:val="7397006E"/>
    <w:rsid w:val="740D6797"/>
    <w:rsid w:val="75CC49D7"/>
    <w:rsid w:val="76D82F74"/>
    <w:rsid w:val="77C35AEB"/>
    <w:rsid w:val="79715BD1"/>
    <w:rsid w:val="7A5944E4"/>
    <w:rsid w:val="7C3A20F4"/>
    <w:rsid w:val="7CA25B04"/>
    <w:rsid w:val="7DD03920"/>
    <w:rsid w:val="7E67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8132</Words>
  <Characters>8864</Characters>
  <Lines>12</Lines>
  <Paragraphs>17</Paragraphs>
  <TotalTime>7</TotalTime>
  <ScaleCrop>false</ScaleCrop>
  <LinksUpToDate>false</LinksUpToDate>
  <CharactersWithSpaces>9020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2023-06-21T05:17:03Z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