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神经传导速度测量仪等</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5</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hint="eastAsia" w:ascii="宋体" w:hAnsi="宋体" w:eastAsia="宋体" w:cs="Times New Roman"/>
          <w:b/>
          <w:color w:val="0000FF"/>
          <w:sz w:val="24"/>
          <w:szCs w:val="36"/>
          <w:u w:val="single"/>
          <w:lang w:val="en-US" w:eastAsia="zh-CN"/>
        </w:rPr>
        <w:t>请</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15</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544" w:firstLineChars="227"/>
        <w:rPr>
          <w:rFonts w:hint="eastAsia" w:ascii="宋体" w:hAnsi="宋体" w:eastAsia="宋体" w:cs="Times New Roman"/>
          <w:sz w:val="24"/>
          <w:szCs w:val="24"/>
        </w:rPr>
      </w:pPr>
      <w:r>
        <w:rPr>
          <w:rFonts w:hint="eastAsia" w:ascii="宋体" w:hAnsi="宋体" w:eastAsia="宋体" w:cs="Times New Roman"/>
          <w:sz w:val="24"/>
          <w:szCs w:val="24"/>
        </w:rPr>
        <w:t>包件</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：神经传导速度测量仪</w:t>
      </w:r>
    </w:p>
    <w:p>
      <w:pPr>
        <w:autoSpaceDE w:val="0"/>
        <w:autoSpaceDN w:val="0"/>
        <w:spacing w:line="360" w:lineRule="auto"/>
        <w:ind w:left="360" w:firstLine="544" w:firstLineChars="227"/>
        <w:rPr>
          <w:rFonts w:hint="eastAsia" w:ascii="宋体" w:hAnsi="宋体" w:eastAsia="宋体" w:cs="Times New Roman"/>
          <w:sz w:val="24"/>
          <w:szCs w:val="24"/>
        </w:rPr>
      </w:pPr>
      <w:r>
        <w:rPr>
          <w:rFonts w:hint="eastAsia" w:ascii="宋体" w:hAnsi="宋体" w:eastAsia="宋体" w:cs="Times New Roman"/>
          <w:sz w:val="24"/>
          <w:szCs w:val="24"/>
        </w:rPr>
        <w:t>包件二：数字震动感觉阈值检查仪</w:t>
      </w:r>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包件三：</w:t>
      </w:r>
      <w:r>
        <w:rPr>
          <w:rFonts w:hint="eastAsia" w:ascii="宋体" w:hAnsi="宋体" w:eastAsia="宋体" w:cs="Times New Roman"/>
          <w:sz w:val="24"/>
          <w:szCs w:val="24"/>
          <w:lang w:eastAsia="zh-CN"/>
        </w:rPr>
        <w:t>可视化麻醉插管镜</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4"/>
              </w:rPr>
              <w:t>神经传导速度测量仪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4"/>
              </w:rPr>
              <w:t>神经传导速度测量仪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06</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08</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：00</w:t>
            </w:r>
            <w:bookmarkStart w:id="18" w:name="_GoBack"/>
            <w:bookmarkEnd w:id="18"/>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spacing w:line="360" w:lineRule="auto"/>
        <w:rPr>
          <w:rFonts w:ascii="宋体" w:hAnsi="宋体" w:eastAsia="宋体" w:cs="宋体"/>
          <w:b/>
          <w:bCs/>
          <w:sz w:val="24"/>
          <w:szCs w:val="24"/>
        </w:rPr>
      </w:pPr>
      <w:bookmarkStart w:id="15" w:name="_Toc11326096"/>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设备名称及数量：神经传导速度测量仪/</w:t>
      </w:r>
      <w:r>
        <w:rPr>
          <w:rFonts w:hint="eastAsia" w:ascii="宋体" w:hAnsi="宋体" w:eastAsia="宋体"/>
          <w:sz w:val="24"/>
          <w:szCs w:val="24"/>
        </w:rPr>
        <w:t>壹</w:t>
      </w:r>
      <w:r>
        <w:rPr>
          <w:rFonts w:hint="eastAsia" w:ascii="宋体" w:hAnsi="宋体" w:eastAsia="宋体"/>
          <w:sz w:val="24"/>
          <w:szCs w:val="24"/>
          <w:lang w:val="en-US" w:eastAsia="zh-CN"/>
        </w:rPr>
        <w:t>台</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420" w:leftChars="0" w:firstLine="42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6"/>
        <w:numPr>
          <w:ilvl w:val="0"/>
          <w:numId w:val="0"/>
        </w:numPr>
        <w:spacing w:line="360" w:lineRule="auto"/>
        <w:ind w:left="-420" w:leftChars="0" w:firstLine="42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pStyle w:val="56"/>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检测神经：无创腓肠神经传导速度及振幅检测，顺向传导</w:t>
      </w:r>
    </w:p>
    <w:p>
      <w:pPr>
        <w:pStyle w:val="56"/>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rPr>
        <w:t>2、检测方法：预配置的电极阵列</w:t>
      </w:r>
    </w:p>
    <w:p>
      <w:pPr>
        <w:pStyle w:val="56"/>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rPr>
        <w:t>3、刺激位置：外侧踝关节后</w:t>
      </w:r>
    </w:p>
    <w:p>
      <w:pPr>
        <w:pStyle w:val="56"/>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rPr>
        <w:t>4、刺激配置：双极（间隔≥2cm）</w:t>
      </w:r>
    </w:p>
    <w:p>
      <w:pPr>
        <w:pStyle w:val="56"/>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rPr>
        <w:t>5、记录位置：刺激位置近端≤9.22cm</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6、记录配置：双极（间隔≥2cm）</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7、检测输出参数：神经传导速度（CV, m/s）和动作电位振幅（Amplitude, μV）</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8、工作额定电压：3V（锂离子），单相恒定电流刺激</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9、共模抑制比：≥ 100 dB</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10、★噪声：≤2 µV rms</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11、频率响应：(‐3 dB) 2 Hz – 2 kHz</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12、采样频率：10 kHz</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13、刺激器最大电压：420V</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14、刺激器最大电流：100mA硬件，软件限制为70mA</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15、刺激器最小脉冲宽度：100µS</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16、刺激频率：≤1Hz</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17、皮肤温度测定：可非接触式或红外线</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18、LCD显示：2位，7-段</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19、仪器规格：≤5.5 cm x 19.0 cm x 11.6 cm</w:t>
      </w:r>
    </w:p>
    <w:p>
      <w:pPr>
        <w:pStyle w:val="56"/>
        <w:numPr>
          <w:ilvl w:val="0"/>
          <w:numId w:val="0"/>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20、重量≤160g</w:t>
      </w:r>
    </w:p>
    <w:p>
      <w:pPr>
        <w:pStyle w:val="56"/>
        <w:numPr>
          <w:ilvl w:val="0"/>
          <w:numId w:val="0"/>
        </w:numPr>
        <w:spacing w:line="360" w:lineRule="auto"/>
        <w:ind w:left="-420" w:leftChars="0" w:firstLine="42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21、★原厂整机终身保修</w:t>
      </w:r>
      <w:r>
        <w:rPr>
          <w:rFonts w:hint="eastAsia" w:ascii="宋体" w:hAnsi="宋体" w:eastAsia="宋体" w:cs="Times New Roman"/>
          <w:sz w:val="24"/>
          <w:szCs w:val="24"/>
          <w:lang w:eastAsia="zh-CN"/>
        </w:rPr>
        <w:t>。</w:t>
      </w:r>
    </w:p>
    <w:p>
      <w:pPr>
        <w:spacing w:line="360" w:lineRule="auto"/>
        <w:rPr>
          <w:rFonts w:hint="eastAsia" w:ascii="宋体" w:hAnsi="宋体" w:eastAsia="宋体" w:cstheme="minorBidi"/>
          <w:kern w:val="2"/>
          <w:sz w:val="24"/>
          <w:szCs w:val="24"/>
          <w:lang w:val="en-US" w:eastAsia="zh-CN" w:bidi="ar-SA"/>
        </w:rPr>
      </w:pPr>
    </w:p>
    <w:p>
      <w:pPr>
        <w:pStyle w:val="56"/>
        <w:numPr>
          <w:ilvl w:val="0"/>
          <w:numId w:val="0"/>
        </w:numPr>
        <w:spacing w:line="360" w:lineRule="auto"/>
        <w:ind w:leftChars="0"/>
        <w:rPr>
          <w:rFonts w:ascii="微软雅黑" w:hAnsi="微软雅黑" w:eastAsia="微软雅黑"/>
          <w:sz w:val="24"/>
        </w:rPr>
      </w:pPr>
    </w:p>
    <w:p>
      <w:pPr>
        <w:pStyle w:val="56"/>
        <w:numPr>
          <w:ilvl w:val="0"/>
          <w:numId w:val="0"/>
        </w:numPr>
        <w:spacing w:line="360" w:lineRule="auto"/>
        <w:ind w:left="-420" w:leftChars="0" w:firstLine="420" w:firstLineChars="0"/>
        <w:rPr>
          <w:rFonts w:hint="default" w:ascii="宋体" w:hAnsi="宋体" w:eastAsia="宋体" w:cs="Times New Roman"/>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6"/>
        <w:numPr>
          <w:ilvl w:val="0"/>
          <w:numId w:val="3"/>
        </w:numPr>
        <w:spacing w:line="360" w:lineRule="auto"/>
        <w:ind w:left="-42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设备名称及数量：数字震动感觉阈值检查仪/</w:t>
      </w:r>
      <w:r>
        <w:rPr>
          <w:rFonts w:hint="eastAsia" w:ascii="宋体" w:hAnsi="宋体" w:eastAsia="宋体"/>
          <w:sz w:val="24"/>
          <w:szCs w:val="24"/>
        </w:rPr>
        <w:t>壹</w:t>
      </w:r>
      <w:r>
        <w:rPr>
          <w:rFonts w:hint="eastAsia" w:ascii="宋体" w:hAnsi="宋体" w:eastAsia="宋体"/>
          <w:sz w:val="24"/>
          <w:szCs w:val="24"/>
          <w:lang w:val="en-US" w:eastAsia="zh-CN"/>
        </w:rPr>
        <w:t>台</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numPr>
          <w:ilvl w:val="0"/>
          <w:numId w:val="0"/>
        </w:numPr>
        <w:spacing w:line="360" w:lineRule="auto"/>
        <w:ind w:left="1440" w:leftChars="0" w:hanging="1440" w:hangingChars="600"/>
        <w:rPr>
          <w:rFonts w:hint="eastAsia" w:ascii="宋体" w:hAnsi="宋体" w:eastAsia="宋体" w:cs="宋体"/>
          <w:sz w:val="24"/>
          <w:szCs w:val="24"/>
        </w:rPr>
      </w:pPr>
      <w:r>
        <w:rPr>
          <w:rFonts w:hint="eastAsia" w:ascii="宋体" w:hAnsi="宋体" w:eastAsia="宋体" w:cs="宋体"/>
          <w:kern w:val="0"/>
          <w:sz w:val="24"/>
          <w:szCs w:val="24"/>
          <w:lang w:val="en-US" w:eastAsia="zh-CN"/>
        </w:rPr>
        <w:t>1、测量范围</w:t>
      </w:r>
      <w:r>
        <w:rPr>
          <w:rFonts w:hint="eastAsia" w:ascii="宋体" w:hAnsi="宋体" w:eastAsia="宋体" w:cs="宋体"/>
          <w:kern w:val="0"/>
          <w:sz w:val="24"/>
          <w:szCs w:val="24"/>
        </w:rPr>
        <w:t>：人体任何部位的皮肤或粘膜上粗有髓鞘感觉神经纤维的震动感觉阈值(VPT),</w:t>
      </w:r>
      <w:r>
        <w:rPr>
          <w:rFonts w:hint="eastAsia" w:ascii="宋体" w:hAnsi="宋体" w:eastAsia="宋体" w:cs="宋体"/>
          <w:sz w:val="24"/>
          <w:szCs w:val="24"/>
        </w:rPr>
        <w:t>定量检查糖尿病周围神经病变之深感觉障碍层度。</w:t>
      </w:r>
    </w:p>
    <w:p>
      <w:pPr>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检测器：</w:t>
      </w:r>
    </w:p>
    <w:p>
      <w:pPr>
        <w:numPr>
          <w:ilvl w:val="0"/>
          <w:numId w:val="0"/>
        </w:numPr>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振动电路测试范围：0-50V。</w:t>
      </w:r>
    </w:p>
    <w:p>
      <w:pPr>
        <w:numPr>
          <w:ilvl w:val="0"/>
          <w:numId w:val="0"/>
        </w:numPr>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振幅微调精度≤0.1 V；误差≤±10%。</w:t>
      </w:r>
    </w:p>
    <w:p>
      <w:pPr>
        <w:numPr>
          <w:ilvl w:val="0"/>
          <w:numId w:val="0"/>
        </w:numPr>
        <w:tabs>
          <w:tab w:val="left" w:pos="3060"/>
        </w:tabs>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振动加速度峰值范围: 0-11.4m/s</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连续可调，误差≤±15%。</w:t>
      </w:r>
    </w:p>
    <w:p>
      <w:pPr>
        <w:numPr>
          <w:ilvl w:val="0"/>
          <w:numId w:val="0"/>
        </w:numPr>
        <w:tabs>
          <w:tab w:val="left" w:pos="3060"/>
        </w:tabs>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振动频率：100Hz，误差范围≤±5%。</w:t>
      </w:r>
    </w:p>
    <w:p>
      <w:pPr>
        <w:numPr>
          <w:ilvl w:val="0"/>
          <w:numId w:val="0"/>
        </w:numPr>
        <w:tabs>
          <w:tab w:val="left" w:pos="3060"/>
        </w:tabs>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震动头最大振幅峰-峰值0-70μm。</w:t>
      </w:r>
    </w:p>
    <w:p>
      <w:pPr>
        <w:numPr>
          <w:ilvl w:val="0"/>
          <w:numId w:val="0"/>
        </w:numPr>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自动测试模式</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微米级震动刺激探头无痛性的测量人体各部位生物震动感觉阈值。</w:t>
      </w:r>
    </w:p>
    <w:p>
      <w:pPr>
        <w:numPr>
          <w:ilvl w:val="0"/>
          <w:numId w:val="0"/>
        </w:numPr>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可配患者反应器。</w:t>
      </w:r>
    </w:p>
    <w:p>
      <w:pPr>
        <w:numPr>
          <w:ilvl w:val="0"/>
          <w:numId w:val="0"/>
        </w:numPr>
        <w:spacing w:line="360" w:lineRule="auto"/>
        <w:ind w:left="42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主机重量</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﹤4kg；刺激探头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﹤0.6kg。</w:t>
      </w:r>
    </w:p>
    <w:p>
      <w:pPr>
        <w:numPr>
          <w:ilvl w:val="0"/>
          <w:numId w:val="0"/>
        </w:numPr>
        <w:spacing w:line="360" w:lineRule="auto"/>
        <w:ind w:leftChars="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可选配软件功能及要求：</w:t>
      </w:r>
    </w:p>
    <w:p>
      <w:pPr>
        <w:numPr>
          <w:ilvl w:val="0"/>
          <w:numId w:val="4"/>
        </w:numPr>
        <w:spacing w:line="360" w:lineRule="auto"/>
        <w:ind w:left="780" w:leftChars="0" w:hanging="420" w:firstLineChars="0"/>
        <w:rPr>
          <w:rStyle w:val="35"/>
          <w:rFonts w:hint="eastAsia" w:ascii="宋体" w:hAnsi="宋体" w:eastAsia="宋体" w:cs="宋体"/>
          <w:b w:val="0"/>
          <w:bCs w:val="0"/>
          <w:sz w:val="24"/>
          <w:szCs w:val="24"/>
        </w:rPr>
      </w:pPr>
      <w:r>
        <w:rPr>
          <w:rFonts w:hint="eastAsia" w:ascii="宋体" w:hAnsi="宋体" w:eastAsia="宋体" w:cs="宋体"/>
          <w:kern w:val="0"/>
          <w:sz w:val="24"/>
          <w:szCs w:val="24"/>
        </w:rPr>
        <w:t>可配经国药局注册过可以用于临床诊断的“人体感觉阈值测试分析软件”。</w:t>
      </w:r>
    </w:p>
    <w:p>
      <w:pPr>
        <w:numPr>
          <w:ilvl w:val="0"/>
          <w:numId w:val="4"/>
        </w:numPr>
        <w:spacing w:line="360" w:lineRule="auto"/>
        <w:ind w:left="780" w:leftChars="0" w:hanging="420" w:firstLineChars="0"/>
        <w:rPr>
          <w:rFonts w:hint="eastAsia" w:ascii="宋体" w:hAnsi="宋体" w:eastAsia="宋体" w:cs="宋体"/>
          <w:sz w:val="24"/>
          <w:szCs w:val="24"/>
        </w:rPr>
      </w:pPr>
      <w:r>
        <w:rPr>
          <w:rFonts w:hint="eastAsia" w:ascii="宋体" w:hAnsi="宋体" w:eastAsia="宋体" w:cs="宋体"/>
          <w:color w:val="222222"/>
          <w:sz w:val="24"/>
          <w:szCs w:val="24"/>
          <w:shd w:val="clear" w:color="auto" w:fill="FFFFFF"/>
        </w:rPr>
        <w:t>★</w:t>
      </w:r>
      <w:r>
        <w:rPr>
          <w:rFonts w:hint="eastAsia" w:ascii="宋体" w:hAnsi="宋体" w:eastAsia="宋体" w:cs="宋体"/>
          <w:kern w:val="0"/>
          <w:sz w:val="24"/>
          <w:szCs w:val="24"/>
        </w:rPr>
        <w:t>可配软件可根据检测数据自动成生报告摘要。</w:t>
      </w:r>
    </w:p>
    <w:p>
      <w:pPr>
        <w:numPr>
          <w:ilvl w:val="0"/>
          <w:numId w:val="4"/>
        </w:numPr>
        <w:spacing w:line="360" w:lineRule="auto"/>
        <w:ind w:left="780" w:leftChars="0" w:hanging="420" w:firstLineChars="0"/>
        <w:rPr>
          <w:rStyle w:val="35"/>
          <w:rFonts w:hint="eastAsia" w:ascii="宋体" w:hAnsi="宋体" w:eastAsia="宋体" w:cs="宋体"/>
          <w:b w:val="0"/>
          <w:bCs w:val="0"/>
          <w:sz w:val="24"/>
          <w:szCs w:val="24"/>
        </w:rPr>
      </w:pPr>
      <w:r>
        <w:rPr>
          <w:rStyle w:val="35"/>
          <w:rFonts w:hint="eastAsia" w:ascii="宋体" w:hAnsi="宋体" w:eastAsia="宋体" w:cs="宋体"/>
          <w:b w:val="0"/>
          <w:bCs w:val="0"/>
          <w:sz w:val="24"/>
          <w:szCs w:val="24"/>
        </w:rPr>
        <w:t>软件可自行设定全身多个检测部位及部位中的多个检测点，并</w:t>
      </w:r>
      <w:r>
        <w:rPr>
          <w:rFonts w:hint="eastAsia" w:ascii="宋体" w:hAnsi="宋体" w:eastAsia="宋体" w:cs="宋体"/>
          <w:kern w:val="0"/>
          <w:sz w:val="24"/>
          <w:szCs w:val="24"/>
        </w:rPr>
        <w:t>设定身体各部位标准数据，方便结果的对比分析。</w:t>
      </w:r>
    </w:p>
    <w:p>
      <w:pPr>
        <w:numPr>
          <w:ilvl w:val="0"/>
          <w:numId w:val="4"/>
        </w:numPr>
        <w:spacing w:line="360" w:lineRule="auto"/>
        <w:ind w:left="780" w:leftChars="0" w:hanging="420" w:firstLineChars="0"/>
        <w:rPr>
          <w:rStyle w:val="35"/>
          <w:rFonts w:hint="eastAsia" w:ascii="宋体" w:hAnsi="宋体" w:eastAsia="宋体" w:cs="宋体"/>
          <w:b w:val="0"/>
          <w:bCs w:val="0"/>
          <w:sz w:val="24"/>
          <w:szCs w:val="24"/>
        </w:rPr>
      </w:pPr>
      <w:r>
        <w:rPr>
          <w:rFonts w:hint="eastAsia" w:ascii="宋体" w:hAnsi="宋体" w:eastAsia="宋体" w:cs="宋体"/>
          <w:kern w:val="0"/>
          <w:sz w:val="24"/>
          <w:szCs w:val="24"/>
        </w:rPr>
        <w:t>结果取值采用</w:t>
      </w:r>
      <w:r>
        <w:rPr>
          <w:rStyle w:val="35"/>
          <w:rFonts w:hint="eastAsia" w:ascii="宋体" w:hAnsi="宋体" w:eastAsia="宋体" w:cs="宋体"/>
          <w:b w:val="0"/>
          <w:bCs w:val="0"/>
          <w:sz w:val="24"/>
          <w:szCs w:val="24"/>
        </w:rPr>
        <w:t>国际标准VPT检测方法，自动计算三次平均值作为检测结果。</w:t>
      </w:r>
    </w:p>
    <w:p>
      <w:pPr>
        <w:numPr>
          <w:ilvl w:val="0"/>
          <w:numId w:val="4"/>
        </w:numPr>
        <w:spacing w:line="360" w:lineRule="auto"/>
        <w:ind w:left="780" w:leftChars="0" w:hanging="420" w:firstLineChars="0"/>
        <w:rPr>
          <w:rStyle w:val="35"/>
          <w:rFonts w:hint="eastAsia" w:ascii="宋体" w:hAnsi="宋体" w:eastAsia="宋体" w:cs="宋体"/>
          <w:b w:val="0"/>
          <w:sz w:val="24"/>
          <w:szCs w:val="24"/>
        </w:rPr>
      </w:pPr>
      <w:r>
        <w:rPr>
          <w:rFonts w:hint="eastAsia" w:ascii="宋体" w:hAnsi="宋体" w:eastAsia="宋体" w:cs="宋体"/>
          <w:color w:val="222222"/>
          <w:sz w:val="24"/>
          <w:szCs w:val="24"/>
          <w:shd w:val="clear" w:color="auto" w:fill="FFFFFF"/>
        </w:rPr>
        <w:t>★</w:t>
      </w:r>
      <w:r>
        <w:rPr>
          <w:rStyle w:val="35"/>
          <w:rFonts w:hint="eastAsia" w:ascii="宋体" w:hAnsi="宋体" w:eastAsia="宋体" w:cs="宋体"/>
          <w:b w:val="0"/>
          <w:bCs w:val="0"/>
          <w:sz w:val="24"/>
          <w:szCs w:val="24"/>
        </w:rPr>
        <w:t>支持病例存储、查询，完整的报告打印功能。</w:t>
      </w:r>
    </w:p>
    <w:p>
      <w:pPr>
        <w:numPr>
          <w:ilvl w:val="0"/>
          <w:numId w:val="4"/>
        </w:numPr>
        <w:spacing w:line="360" w:lineRule="auto"/>
        <w:ind w:left="780" w:leftChars="0" w:hanging="420" w:firstLineChars="0"/>
        <w:rPr>
          <w:rStyle w:val="35"/>
          <w:rFonts w:hint="eastAsia" w:ascii="宋体" w:hAnsi="宋体" w:eastAsia="宋体" w:cs="宋体"/>
          <w:b w:val="0"/>
          <w:bCs w:val="0"/>
          <w:kern w:val="0"/>
          <w:sz w:val="24"/>
          <w:szCs w:val="24"/>
        </w:rPr>
      </w:pPr>
      <w:r>
        <w:rPr>
          <w:rFonts w:hint="eastAsia" w:ascii="宋体" w:hAnsi="宋体" w:eastAsia="宋体" w:cs="宋体"/>
          <w:kern w:val="0"/>
          <w:sz w:val="24"/>
          <w:szCs w:val="24"/>
        </w:rPr>
        <w:t>支持32位和64位Win7、Win8、Win10操作系统。</w:t>
      </w:r>
    </w:p>
    <w:p>
      <w:pPr>
        <w:numPr>
          <w:ilvl w:val="0"/>
          <w:numId w:val="0"/>
        </w:numPr>
        <w:spacing w:line="360" w:lineRule="auto"/>
        <w:ind w:leftChars="0"/>
        <w:rPr>
          <w:rFonts w:hint="eastAsia" w:ascii="宋体" w:hAnsi="宋体" w:eastAsia="宋体" w:cs="宋体"/>
          <w:bCs/>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专用电脑工作站：存储患者数据</w:t>
      </w:r>
      <w:r>
        <w:rPr>
          <w:rFonts w:hint="eastAsia" w:ascii="宋体" w:hAnsi="宋体" w:eastAsia="宋体" w:cs="宋体"/>
          <w:kern w:val="0"/>
          <w:sz w:val="24"/>
          <w:szCs w:val="24"/>
          <w:lang w:eastAsia="zh-CN"/>
        </w:rPr>
        <w:t>，</w:t>
      </w:r>
      <w:r>
        <w:rPr>
          <w:rFonts w:hint="eastAsia" w:ascii="宋体" w:hAnsi="宋体" w:eastAsia="宋体" w:cs="宋体"/>
          <w:color w:val="000000"/>
          <w:kern w:val="0"/>
          <w:sz w:val="24"/>
          <w:szCs w:val="24"/>
        </w:rPr>
        <w:t>彩色喷墨打印机，移动式</w:t>
      </w:r>
      <w:r>
        <w:rPr>
          <w:rFonts w:hint="eastAsia" w:ascii="宋体" w:hAnsi="宋体" w:eastAsia="宋体" w:cs="宋体"/>
          <w:kern w:val="0"/>
          <w:sz w:val="24"/>
          <w:szCs w:val="24"/>
        </w:rPr>
        <w:t>工作台车。</w:t>
      </w:r>
    </w:p>
    <w:p>
      <w:pPr>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color w:val="222222"/>
          <w:sz w:val="24"/>
          <w:szCs w:val="24"/>
          <w:shd w:val="clear" w:color="auto" w:fill="FFFFFF"/>
          <w:lang w:val="en-US" w:eastAsia="zh-CN"/>
        </w:rPr>
        <w:t>5、</w:t>
      </w:r>
      <w:r>
        <w:rPr>
          <w:rFonts w:hint="eastAsia" w:ascii="宋体" w:hAnsi="宋体" w:eastAsia="宋体" w:cs="宋体"/>
          <w:color w:val="222222"/>
          <w:sz w:val="24"/>
          <w:szCs w:val="24"/>
          <w:shd w:val="clear" w:color="auto" w:fill="FFFFFF"/>
        </w:rPr>
        <w:t>★</w:t>
      </w:r>
      <w:r>
        <w:rPr>
          <w:rFonts w:hint="eastAsia" w:ascii="宋体" w:hAnsi="宋体" w:eastAsia="宋体" w:cs="宋体"/>
          <w:color w:val="222222"/>
          <w:sz w:val="24"/>
          <w:szCs w:val="24"/>
          <w:shd w:val="clear" w:color="auto" w:fill="FFFFFF"/>
          <w:lang w:val="en-US" w:eastAsia="zh-CN"/>
        </w:rPr>
        <w:t>原厂整机</w:t>
      </w:r>
      <w:r>
        <w:rPr>
          <w:rFonts w:hint="eastAsia" w:ascii="宋体" w:hAnsi="宋体" w:eastAsia="宋体" w:cs="宋体"/>
          <w:kern w:val="0"/>
          <w:sz w:val="24"/>
          <w:szCs w:val="24"/>
        </w:rPr>
        <w:t>保修≥5年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出保后费率≤3%。</w:t>
      </w:r>
    </w:p>
    <w:p/>
    <w:p>
      <w:pPr>
        <w:numPr>
          <w:ilvl w:val="0"/>
          <w:numId w:val="0"/>
        </w:numPr>
        <w:spacing w:line="360" w:lineRule="auto"/>
        <w:ind w:left="-420" w:leftChars="0" w:firstLine="420" w:firstLineChars="0"/>
        <w:rPr>
          <w:rFonts w:hint="eastAsia" w:ascii="宋体" w:hAnsi="宋体" w:eastAsia="宋体"/>
          <w:sz w:val="24"/>
          <w:szCs w:val="24"/>
        </w:rPr>
      </w:pPr>
    </w:p>
    <w:p>
      <w:pPr>
        <w:numPr>
          <w:ilvl w:val="0"/>
          <w:numId w:val="0"/>
        </w:numPr>
        <w:spacing w:line="360" w:lineRule="auto"/>
        <w:ind w:left="-420" w:leftChars="0" w:firstLine="420" w:firstLineChars="0"/>
        <w:rPr>
          <w:rFonts w:hint="eastAsia" w:ascii="宋体" w:hAnsi="宋体" w:eastAsia="宋体"/>
          <w:sz w:val="24"/>
          <w:szCs w:val="24"/>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w:t>
      </w:r>
      <w:r>
        <w:rPr>
          <w:rFonts w:hint="eastAsia" w:ascii="宋体" w:hAnsi="宋体" w:eastAsia="宋体" w:cs="Times New Roman"/>
          <w:sz w:val="24"/>
          <w:szCs w:val="24"/>
          <w:lang w:eastAsia="zh-CN"/>
        </w:rPr>
        <w:t>可视化麻醉插管镜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r>
        <w:rPr>
          <w:rFonts w:hint="eastAsia" w:ascii="宋体" w:hAnsi="宋体" w:eastAsia="宋体"/>
          <w:sz w:val="24"/>
          <w:szCs w:val="24"/>
          <w:lang w:eastAsia="zh-CN"/>
        </w:rPr>
        <w:t>：</w:t>
      </w:r>
    </w:p>
    <w:p>
      <w:pPr>
        <w:spacing w:line="360" w:lineRule="auto"/>
        <w:ind w:firstLine="21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rPr>
        <w:t>1：</w:t>
      </w:r>
      <w:r>
        <w:rPr>
          <w:rFonts w:hint="eastAsia" w:ascii="宋体" w:hAnsi="宋体" w:eastAsia="宋体" w:cs="Times New Roman"/>
          <w:b w:val="0"/>
          <w:bCs/>
          <w:color w:val="000000"/>
          <w:kern w:val="2"/>
          <w:sz w:val="24"/>
          <w:szCs w:val="24"/>
          <w:lang w:val="en-US" w:eastAsia="zh-CN" w:bidi="ar-SA"/>
        </w:rPr>
        <w:t>★显示主机：可无缝兼容喉镜手柄、硬管手柄、软管手柄，方便升级。</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 屏幕：采用≥3.5寸医用全触摸显示屏，压力感应。</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3： 显示主机与手柄连接方式：采用航空金属接头，可一键带电插拔，无需旋转。</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4：★电池：内置≥2500mAh高容量锂电池，具备电量管理功能，工作时间≥240分钟。</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5：数据输出方式：USB传输内存数据，通过HDMI实时传输影像，实现双屏显示。</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6：可一键拍照、录像、录音，并在主机上阅读、回放。</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7：内置操作使用教学视频，方便临床医护人员快速掌握设备使用方法。</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8：具有户外/户内环境模式，以适应不同插管环境。</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9：显示器能上下0º～130º转动，左右0º～270º转动。</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10：支持高容量记忆TF卡，最大容量32GB。</w:t>
      </w:r>
    </w:p>
    <w:p>
      <w:pPr>
        <w:spacing w:line="360" w:lineRule="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 xml:space="preserve">  11：硬管手柄：数字电子成像技术，无内置光纤，视角≥90°，空间分辨率≥10.10lp/mm。</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12：★硬管直径：≤3.8mm，长度≥410mm，可适配4.5mm以上内径的气管导管。</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13：★硬管采用记忆金属材料，前端部分可任意塑型，利于困难气道处理。</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14：★管芯塑型后60°以上受热即可在3秒钟内自动复原。</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15：配备给氧通道，可在插管的同时给氧。</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16：成像距离范围不小于3～50mm。。</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17：可采用多种消毒、灭菌方式，比如浸泡、低温等离子、环氧乙烷等。</w:t>
      </w:r>
    </w:p>
    <w:p>
      <w:pPr>
        <w:spacing w:line="360" w:lineRule="auto"/>
        <w:ind w:firstLine="240" w:firstLineChars="10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18：可以升级配置无线传输功能模块，用于WIFI连接大屏幕显示器。</w:t>
      </w:r>
    </w:p>
    <w:p>
      <w:pPr>
        <w:pStyle w:val="2"/>
        <w:ind w:firstLine="240" w:firstLineChars="100"/>
        <w:rPr>
          <w:rFonts w:hint="default"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19：★原厂保修≥5年，过保费率5%。</w:t>
      </w:r>
    </w:p>
    <w:p>
      <w:pPr>
        <w:spacing w:line="360" w:lineRule="auto"/>
        <w:ind w:firstLine="210" w:firstLineChars="100"/>
        <w:rPr>
          <w:rFonts w:hint="eastAsia" w:ascii="宋体" w:hAnsi="宋体"/>
        </w:rPr>
      </w:pPr>
    </w:p>
    <w:p>
      <w:pPr>
        <w:spacing w:line="360" w:lineRule="auto"/>
        <w:ind w:firstLine="210" w:firstLineChars="100"/>
        <w:rPr>
          <w:rFonts w:hint="eastAsia" w:ascii="宋体" w:hAnsi="宋体"/>
        </w:rPr>
      </w:pPr>
    </w:p>
    <w:p>
      <w:pPr>
        <w:jc w:val="center"/>
        <w:rPr>
          <w:rFonts w:hint="eastAsia" w:ascii="等线" w:hAnsi="等线" w:eastAsia="等线" w:cs="等线"/>
          <w:b/>
          <w:bCs/>
          <w:sz w:val="28"/>
          <w:szCs w:val="28"/>
        </w:rPr>
      </w:pPr>
    </w:p>
    <w:p>
      <w:pPr>
        <w:jc w:val="center"/>
        <w:rPr>
          <w:rFonts w:hint="eastAsia" w:ascii="等线" w:hAnsi="等线" w:eastAsia="等线" w:cs="等线"/>
          <w:b/>
          <w:bCs/>
          <w:sz w:val="28"/>
          <w:szCs w:val="28"/>
        </w:rPr>
      </w:pPr>
    </w:p>
    <w:p>
      <w:pPr>
        <w:jc w:val="center"/>
        <w:rPr>
          <w:rFonts w:hint="eastAsia" w:ascii="等线" w:hAnsi="等线" w:eastAsia="等线" w:cs="等线"/>
          <w:b/>
          <w:bCs/>
          <w:sz w:val="28"/>
          <w:szCs w:val="28"/>
        </w:rPr>
      </w:pPr>
    </w:p>
    <w:p>
      <w:pPr>
        <w:jc w:val="center"/>
        <w:rPr>
          <w:rFonts w:ascii="等线" w:hAnsi="等线" w:eastAsia="等线" w:cs="等线"/>
          <w:b/>
          <w:bCs/>
          <w:sz w:val="28"/>
          <w:szCs w:val="28"/>
        </w:rPr>
      </w:pPr>
      <w:r>
        <w:rPr>
          <w:rFonts w:hint="eastAsia" w:ascii="等线" w:hAnsi="等线" w:eastAsia="等线" w:cs="等线"/>
          <w:b/>
          <w:bCs/>
          <w:sz w:val="28"/>
          <w:szCs w:val="28"/>
          <w:lang w:eastAsia="zh-CN"/>
        </w:rPr>
        <w:t>可视化麻醉</w:t>
      </w:r>
      <w:r>
        <w:rPr>
          <w:rFonts w:hint="eastAsia" w:ascii="等线" w:hAnsi="等线" w:eastAsia="等线" w:cs="等线"/>
          <w:b/>
          <w:bCs/>
          <w:sz w:val="28"/>
          <w:szCs w:val="28"/>
        </w:rPr>
        <w:t>麻醉</w:t>
      </w:r>
      <w:r>
        <w:rPr>
          <w:rFonts w:hint="eastAsia" w:ascii="等线" w:hAnsi="等线" w:eastAsia="等线" w:cs="等线"/>
          <w:b/>
          <w:bCs/>
          <w:sz w:val="28"/>
          <w:szCs w:val="28"/>
          <w:lang w:eastAsia="zh-CN"/>
        </w:rPr>
        <w:t>插管镜</w:t>
      </w:r>
      <w:r>
        <w:rPr>
          <w:rFonts w:hint="eastAsia" w:ascii="等线" w:hAnsi="等线" w:eastAsia="等线" w:cs="等线"/>
          <w:b/>
          <w:bCs/>
          <w:sz w:val="28"/>
          <w:szCs w:val="28"/>
        </w:rPr>
        <w:t>（组合）配置清单</w:t>
      </w:r>
    </w:p>
    <w:tbl>
      <w:tblPr>
        <w:tblStyle w:val="32"/>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35"/>
        <w:gridCol w:w="180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70" w:type="dxa"/>
            <w:vAlign w:val="center"/>
          </w:tcPr>
          <w:p>
            <w:pPr>
              <w:jc w:val="center"/>
              <w:rPr>
                <w:rFonts w:ascii="等线" w:hAnsi="等线" w:eastAsia="等线" w:cs="等线"/>
                <w:b/>
                <w:bCs/>
                <w:sz w:val="24"/>
              </w:rPr>
            </w:pPr>
            <w:r>
              <w:rPr>
                <w:rFonts w:hint="eastAsia" w:ascii="等线" w:hAnsi="等线" w:eastAsia="等线" w:cs="等线"/>
                <w:b/>
                <w:bCs/>
                <w:sz w:val="24"/>
              </w:rPr>
              <w:t>序号</w:t>
            </w:r>
          </w:p>
        </w:tc>
        <w:tc>
          <w:tcPr>
            <w:tcW w:w="4535" w:type="dxa"/>
            <w:vAlign w:val="center"/>
          </w:tcPr>
          <w:p>
            <w:pPr>
              <w:jc w:val="center"/>
              <w:rPr>
                <w:rFonts w:ascii="等线" w:hAnsi="等线" w:eastAsia="等线" w:cs="等线"/>
                <w:b/>
                <w:bCs/>
                <w:sz w:val="24"/>
              </w:rPr>
            </w:pPr>
            <w:r>
              <w:rPr>
                <w:rFonts w:hint="eastAsia" w:ascii="等线" w:hAnsi="等线" w:eastAsia="等线" w:cs="等线"/>
                <w:b/>
                <w:bCs/>
                <w:sz w:val="24"/>
              </w:rPr>
              <w:t>名称</w:t>
            </w:r>
          </w:p>
        </w:tc>
        <w:tc>
          <w:tcPr>
            <w:tcW w:w="1803" w:type="dxa"/>
            <w:vAlign w:val="center"/>
          </w:tcPr>
          <w:p>
            <w:pPr>
              <w:jc w:val="center"/>
              <w:rPr>
                <w:rFonts w:ascii="等线" w:hAnsi="等线" w:eastAsia="等线" w:cs="等线"/>
                <w:b/>
                <w:bCs/>
                <w:sz w:val="24"/>
              </w:rPr>
            </w:pPr>
            <w:r>
              <w:rPr>
                <w:rFonts w:hint="eastAsia" w:ascii="等线" w:hAnsi="等线" w:eastAsia="等线" w:cs="等线"/>
                <w:b/>
                <w:bCs/>
                <w:sz w:val="24"/>
              </w:rPr>
              <w:t>单位</w:t>
            </w:r>
          </w:p>
        </w:tc>
        <w:tc>
          <w:tcPr>
            <w:tcW w:w="1142" w:type="dxa"/>
            <w:vAlign w:val="center"/>
          </w:tcPr>
          <w:p>
            <w:pPr>
              <w:jc w:val="center"/>
              <w:rPr>
                <w:rFonts w:ascii="等线" w:hAnsi="等线" w:eastAsia="等线" w:cs="等线"/>
                <w:b/>
                <w:bCs/>
                <w:sz w:val="24"/>
              </w:rPr>
            </w:pPr>
            <w:r>
              <w:rPr>
                <w:rFonts w:hint="eastAsia" w:ascii="等线" w:hAnsi="等线" w:eastAsia="等线" w:cs="等线"/>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1</w:t>
            </w:r>
          </w:p>
        </w:tc>
        <w:tc>
          <w:tcPr>
            <w:tcW w:w="4535" w:type="dxa"/>
            <w:vAlign w:val="center"/>
          </w:tcPr>
          <w:p>
            <w:pPr>
              <w:jc w:val="center"/>
              <w:rPr>
                <w:rFonts w:ascii="等线" w:hAnsi="等线" w:eastAsia="等线" w:cs="等线"/>
                <w:sz w:val="24"/>
              </w:rPr>
            </w:pPr>
            <w:r>
              <w:rPr>
                <w:rFonts w:hint="eastAsia" w:ascii="等线" w:hAnsi="等线" w:eastAsia="等线" w:cs="等线"/>
                <w:sz w:val="24"/>
              </w:rPr>
              <w:t>便携箱</w:t>
            </w:r>
          </w:p>
        </w:tc>
        <w:tc>
          <w:tcPr>
            <w:tcW w:w="1803" w:type="dxa"/>
            <w:vAlign w:val="center"/>
          </w:tcPr>
          <w:p>
            <w:pPr>
              <w:jc w:val="center"/>
              <w:rPr>
                <w:rFonts w:ascii="等线" w:hAnsi="等线" w:eastAsia="等线" w:cs="等线"/>
                <w:sz w:val="24"/>
              </w:rPr>
            </w:pPr>
            <w:r>
              <w:rPr>
                <w:rFonts w:hint="eastAsia" w:ascii="等线" w:hAnsi="等线" w:eastAsia="等线" w:cs="等线"/>
                <w:sz w:val="24"/>
              </w:rPr>
              <w:t>个</w:t>
            </w:r>
          </w:p>
        </w:tc>
        <w:tc>
          <w:tcPr>
            <w:tcW w:w="1142" w:type="dxa"/>
            <w:vAlign w:val="center"/>
          </w:tcPr>
          <w:p>
            <w:pPr>
              <w:jc w:val="center"/>
              <w:rPr>
                <w:rFonts w:ascii="等线" w:hAnsi="等线" w:eastAsia="等线" w:cs="等线"/>
                <w:sz w:val="24"/>
              </w:rPr>
            </w:pPr>
            <w:r>
              <w:rPr>
                <w:rFonts w:hAnsi="等线" w:eastAsia="等线" w:cs="等线"/>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2</w:t>
            </w:r>
          </w:p>
        </w:tc>
        <w:tc>
          <w:tcPr>
            <w:tcW w:w="4535" w:type="dxa"/>
            <w:vAlign w:val="center"/>
          </w:tcPr>
          <w:p>
            <w:pPr>
              <w:jc w:val="center"/>
              <w:rPr>
                <w:rFonts w:ascii="等线" w:hAnsi="等线" w:eastAsia="等线" w:cs="等线"/>
                <w:sz w:val="24"/>
              </w:rPr>
            </w:pPr>
            <w:r>
              <w:rPr>
                <w:rFonts w:hint="eastAsia" w:ascii="等线" w:hAnsi="等线" w:eastAsia="等线" w:cs="等线"/>
                <w:sz w:val="24"/>
              </w:rPr>
              <w:t>显示主机</w:t>
            </w:r>
          </w:p>
        </w:tc>
        <w:tc>
          <w:tcPr>
            <w:tcW w:w="1803" w:type="dxa"/>
            <w:vAlign w:val="center"/>
          </w:tcPr>
          <w:p>
            <w:pPr>
              <w:jc w:val="center"/>
              <w:rPr>
                <w:rFonts w:ascii="等线" w:hAnsi="等线" w:eastAsia="等线" w:cs="等线"/>
                <w:sz w:val="24"/>
              </w:rPr>
            </w:pPr>
            <w:r>
              <w:rPr>
                <w:rFonts w:hint="eastAsia" w:ascii="等线" w:hAnsi="等线" w:eastAsia="等线" w:cs="等线"/>
                <w:sz w:val="24"/>
              </w:rPr>
              <w:t>台</w:t>
            </w:r>
          </w:p>
        </w:tc>
        <w:tc>
          <w:tcPr>
            <w:tcW w:w="1142" w:type="dxa"/>
            <w:vAlign w:val="center"/>
          </w:tcPr>
          <w:p>
            <w:pPr>
              <w:jc w:val="center"/>
              <w:rPr>
                <w:rFonts w:ascii="等线" w:hAnsi="等线" w:eastAsia="等线" w:cs="等线"/>
                <w:sz w:val="24"/>
              </w:rPr>
            </w:pPr>
            <w:r>
              <w:rPr>
                <w:rFonts w:hAnsi="等线" w:eastAsia="等线" w:cs="等线"/>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3</w:t>
            </w:r>
          </w:p>
        </w:tc>
        <w:tc>
          <w:tcPr>
            <w:tcW w:w="4535" w:type="dxa"/>
            <w:vAlign w:val="center"/>
          </w:tcPr>
          <w:p>
            <w:pPr>
              <w:jc w:val="center"/>
              <w:rPr>
                <w:rFonts w:ascii="等线" w:hAnsi="等线" w:eastAsia="等线" w:cs="等线"/>
                <w:sz w:val="24"/>
              </w:rPr>
            </w:pPr>
            <w:r>
              <w:rPr>
                <w:rFonts w:hint="eastAsia" w:ascii="等线" w:hAnsi="等线" w:eastAsia="等线" w:cs="等线"/>
                <w:sz w:val="24"/>
              </w:rPr>
              <w:t>硬镜手柄</w:t>
            </w:r>
          </w:p>
        </w:tc>
        <w:tc>
          <w:tcPr>
            <w:tcW w:w="1803" w:type="dxa"/>
            <w:vAlign w:val="center"/>
          </w:tcPr>
          <w:p>
            <w:pPr>
              <w:jc w:val="center"/>
              <w:rPr>
                <w:rFonts w:ascii="等线" w:hAnsi="等线" w:eastAsia="等线" w:cs="等线"/>
                <w:sz w:val="24"/>
              </w:rPr>
            </w:pPr>
            <w:r>
              <w:rPr>
                <w:rFonts w:hint="eastAsia" w:ascii="等线" w:hAnsi="等线" w:eastAsia="等线" w:cs="等线"/>
                <w:sz w:val="24"/>
              </w:rPr>
              <w:t>把</w:t>
            </w:r>
          </w:p>
        </w:tc>
        <w:tc>
          <w:tcPr>
            <w:tcW w:w="1142" w:type="dxa"/>
            <w:vAlign w:val="center"/>
          </w:tcPr>
          <w:p>
            <w:pPr>
              <w:jc w:val="center"/>
              <w:rPr>
                <w:rFonts w:ascii="等线" w:hAnsi="等线" w:eastAsia="等线" w:cs="等线"/>
                <w:sz w:val="24"/>
              </w:rPr>
            </w:pPr>
            <w:r>
              <w:rPr>
                <w:rFonts w:hint="eastAsia" w:ascii="等线" w:hAnsi="等线" w:eastAsia="等线" w:cs="等线"/>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color w:val="000000"/>
                <w:sz w:val="24"/>
              </w:rPr>
            </w:pPr>
            <w:r>
              <w:rPr>
                <w:rFonts w:hAnsi="等线" w:eastAsia="等线" w:cs="等线"/>
                <w:color w:val="000000"/>
                <w:sz w:val="24"/>
              </w:rPr>
              <w:t>4</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电源适配器</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个</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color w:val="000000"/>
                <w:sz w:val="24"/>
              </w:rPr>
            </w:pPr>
            <w:r>
              <w:rPr>
                <w:rFonts w:hAnsi="等线" w:eastAsia="等线" w:cs="等线"/>
                <w:color w:val="000000"/>
                <w:sz w:val="24"/>
              </w:rPr>
              <w:t>5</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数据线</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根</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color w:val="000000"/>
                <w:sz w:val="24"/>
              </w:rPr>
            </w:pPr>
            <w:r>
              <w:rPr>
                <w:rFonts w:hAnsi="等线" w:eastAsia="等线" w:cs="等线"/>
                <w:color w:val="000000"/>
                <w:sz w:val="24"/>
              </w:rPr>
              <w:t>6</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使用说明书</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本</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Ansi="等线" w:eastAsia="等线" w:cs="等线"/>
                <w:sz w:val="24"/>
              </w:rPr>
              <w:t>7</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合格证、产品质保卡、装箱清单</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份</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bl>
    <w:p>
      <w:pPr>
        <w:spacing w:line="360" w:lineRule="auto"/>
        <w:ind w:firstLine="210" w:firstLineChars="100"/>
        <w:rPr>
          <w:rFonts w:hint="eastAsia" w:ascii="宋体" w:hAnsi="宋体"/>
        </w:rPr>
      </w:pPr>
    </w:p>
    <w:p>
      <w:pPr>
        <w:pStyle w:val="56"/>
        <w:numPr>
          <w:ilvl w:val="0"/>
          <w:numId w:val="0"/>
        </w:numPr>
        <w:spacing w:line="360" w:lineRule="auto"/>
        <w:ind w:leftChars="0"/>
        <w:rPr>
          <w:rFonts w:ascii="宋体" w:hAnsi="宋体" w:eastAsia="宋体"/>
          <w:sz w:val="24"/>
          <w:szCs w:val="24"/>
        </w:rPr>
      </w:pPr>
    </w:p>
    <w:p>
      <w:pPr>
        <w:pStyle w:val="56"/>
        <w:numPr>
          <w:ilvl w:val="0"/>
          <w:numId w:val="0"/>
        </w:numPr>
        <w:spacing w:line="360" w:lineRule="auto"/>
        <w:ind w:leftChars="0"/>
        <w:rPr>
          <w:rFonts w:ascii="宋体" w:hAnsi="宋体" w:eastAsia="宋体"/>
          <w:sz w:val="24"/>
          <w:szCs w:val="24"/>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930470F"/>
    <w:multiLevelType w:val="singleLevel"/>
    <w:tmpl w:val="B930470F"/>
    <w:lvl w:ilvl="0" w:tentative="0">
      <w:start w:val="1"/>
      <w:numFmt w:val="chineseCounting"/>
      <w:suff w:val="space"/>
      <w:lvlText w:val="%1、"/>
      <w:lvlJc w:val="left"/>
      <w:rPr>
        <w:rFonts w:hint="eastAsia"/>
      </w:rPr>
    </w:lvl>
  </w:abstractNum>
  <w:abstractNum w:abstractNumId="2">
    <w:nsid w:val="DB746011"/>
    <w:multiLevelType w:val="singleLevel"/>
    <w:tmpl w:val="DB746011"/>
    <w:lvl w:ilvl="0" w:tentative="0">
      <w:start w:val="1"/>
      <w:numFmt w:val="decimal"/>
      <w:lvlText w:val="%1)"/>
      <w:lvlJc w:val="left"/>
      <w:pPr>
        <w:ind w:left="425" w:hanging="425"/>
      </w:pPr>
      <w:rPr>
        <w:rFonts w:hint="default"/>
      </w:rPr>
    </w:lvl>
  </w:abstractNum>
  <w:abstractNum w:abstractNumId="3">
    <w:nsid w:val="55BFDC90"/>
    <w:multiLevelType w:val="singleLevel"/>
    <w:tmpl w:val="55BFDC90"/>
    <w:lvl w:ilvl="0" w:tentative="0">
      <w:start w:val="1"/>
      <w:numFmt w:val="chineseCounting"/>
      <w:suff w:val="nothing"/>
      <w:lvlText w:val="%1、"/>
      <w:lvlJc w:val="left"/>
      <w:pPr>
        <w:ind w:left="-420" w:firstLine="420"/>
      </w:pPr>
      <w:rPr>
        <w:rFonts w:hint="eastAsia"/>
      </w:rPr>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59503E5"/>
    <w:rsid w:val="05D709B3"/>
    <w:rsid w:val="06710E08"/>
    <w:rsid w:val="079669F1"/>
    <w:rsid w:val="07C20BED"/>
    <w:rsid w:val="088937C8"/>
    <w:rsid w:val="08FD6983"/>
    <w:rsid w:val="0A7753AE"/>
    <w:rsid w:val="0B8D6055"/>
    <w:rsid w:val="0BF00DA4"/>
    <w:rsid w:val="0C9A1884"/>
    <w:rsid w:val="0E1D7E31"/>
    <w:rsid w:val="0EB045BA"/>
    <w:rsid w:val="0EF02652"/>
    <w:rsid w:val="119503EF"/>
    <w:rsid w:val="129544B2"/>
    <w:rsid w:val="171A5BFB"/>
    <w:rsid w:val="19DC576F"/>
    <w:rsid w:val="1A002777"/>
    <w:rsid w:val="1A5F06D7"/>
    <w:rsid w:val="1AEB25DE"/>
    <w:rsid w:val="1B5A7C65"/>
    <w:rsid w:val="1C70162B"/>
    <w:rsid w:val="1DBC650F"/>
    <w:rsid w:val="1E467C06"/>
    <w:rsid w:val="1E4F1A12"/>
    <w:rsid w:val="206F557C"/>
    <w:rsid w:val="20A76BED"/>
    <w:rsid w:val="211D184F"/>
    <w:rsid w:val="22AA393E"/>
    <w:rsid w:val="25B97D43"/>
    <w:rsid w:val="271D349F"/>
    <w:rsid w:val="275E3B93"/>
    <w:rsid w:val="2B2963D3"/>
    <w:rsid w:val="2E287082"/>
    <w:rsid w:val="2F2C5770"/>
    <w:rsid w:val="319475D5"/>
    <w:rsid w:val="3288626A"/>
    <w:rsid w:val="34EE008B"/>
    <w:rsid w:val="35805CB4"/>
    <w:rsid w:val="36CA3141"/>
    <w:rsid w:val="38593614"/>
    <w:rsid w:val="39301A51"/>
    <w:rsid w:val="3BF15DAC"/>
    <w:rsid w:val="3DA4759C"/>
    <w:rsid w:val="3DFE745B"/>
    <w:rsid w:val="3E2B711B"/>
    <w:rsid w:val="3E2D1012"/>
    <w:rsid w:val="409018AF"/>
    <w:rsid w:val="412709D8"/>
    <w:rsid w:val="41627833"/>
    <w:rsid w:val="416D419A"/>
    <w:rsid w:val="419E7FFC"/>
    <w:rsid w:val="421443FB"/>
    <w:rsid w:val="427239F0"/>
    <w:rsid w:val="43426C26"/>
    <w:rsid w:val="44E76487"/>
    <w:rsid w:val="4668169A"/>
    <w:rsid w:val="49B25227"/>
    <w:rsid w:val="4B863339"/>
    <w:rsid w:val="4D25098E"/>
    <w:rsid w:val="4D77632F"/>
    <w:rsid w:val="4DF42660"/>
    <w:rsid w:val="4E7C3473"/>
    <w:rsid w:val="501778F7"/>
    <w:rsid w:val="52C021AE"/>
    <w:rsid w:val="5371335C"/>
    <w:rsid w:val="5389510F"/>
    <w:rsid w:val="56C17F84"/>
    <w:rsid w:val="56E97E3E"/>
    <w:rsid w:val="57931FDC"/>
    <w:rsid w:val="57B01F9A"/>
    <w:rsid w:val="5912342D"/>
    <w:rsid w:val="59A549DC"/>
    <w:rsid w:val="5B7B7104"/>
    <w:rsid w:val="5CF501E7"/>
    <w:rsid w:val="5E4E4400"/>
    <w:rsid w:val="5E5E67D4"/>
    <w:rsid w:val="60BA47AE"/>
    <w:rsid w:val="63D92820"/>
    <w:rsid w:val="64917820"/>
    <w:rsid w:val="67F0315B"/>
    <w:rsid w:val="685F15E7"/>
    <w:rsid w:val="68873AFC"/>
    <w:rsid w:val="6A0856B9"/>
    <w:rsid w:val="6B792AC7"/>
    <w:rsid w:val="6C1043A4"/>
    <w:rsid w:val="6CE12E64"/>
    <w:rsid w:val="6CEA0C57"/>
    <w:rsid w:val="6D024D8C"/>
    <w:rsid w:val="6ECC7A0D"/>
    <w:rsid w:val="6F490848"/>
    <w:rsid w:val="70EA395C"/>
    <w:rsid w:val="7397006E"/>
    <w:rsid w:val="740D6797"/>
    <w:rsid w:val="75CC49D7"/>
    <w:rsid w:val="764C7A4B"/>
    <w:rsid w:val="77111160"/>
    <w:rsid w:val="77C35AEB"/>
    <w:rsid w:val="79305402"/>
    <w:rsid w:val="79715BD1"/>
    <w:rsid w:val="79905B34"/>
    <w:rsid w:val="7A5944E4"/>
    <w:rsid w:val="7AA76AF8"/>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8"/>
    <w:qFormat/>
    <w:uiPriority w:val="0"/>
    <w:pPr>
      <w:adjustRightInd/>
      <w:spacing w:line="240" w:lineRule="auto"/>
      <w:textAlignment w:val="auto"/>
    </w:pPr>
    <w:rPr>
      <w:b/>
      <w:bCs/>
      <w:kern w:val="2"/>
      <w:sz w:val="21"/>
      <w:szCs w:val="24"/>
    </w:r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4"/>
    <w:link w:val="24"/>
    <w:qFormat/>
    <w:uiPriority w:val="99"/>
    <w:rPr>
      <w:sz w:val="18"/>
      <w:szCs w:val="18"/>
    </w:rPr>
  </w:style>
  <w:style w:type="character" w:customStyle="1" w:styleId="42">
    <w:name w:val="页脚 字符"/>
    <w:basedOn w:val="34"/>
    <w:link w:val="23"/>
    <w:qFormat/>
    <w:uiPriority w:val="99"/>
    <w:rPr>
      <w:sz w:val="18"/>
      <w:szCs w:val="18"/>
    </w:rPr>
  </w:style>
  <w:style w:type="character" w:customStyle="1" w:styleId="43">
    <w:name w:val="标题 1 字符"/>
    <w:basedOn w:val="34"/>
    <w:link w:val="3"/>
    <w:qFormat/>
    <w:uiPriority w:val="0"/>
    <w:rPr>
      <w:rFonts w:ascii="Times New Roman" w:hAnsi="Times New Roman" w:eastAsia="宋体" w:cs="Times New Roman"/>
      <w:b/>
      <w:kern w:val="44"/>
      <w:sz w:val="44"/>
      <w:szCs w:val="20"/>
    </w:rPr>
  </w:style>
  <w:style w:type="character" w:customStyle="1" w:styleId="44">
    <w:name w:val="标题 2 字符"/>
    <w:basedOn w:val="34"/>
    <w:link w:val="4"/>
    <w:qFormat/>
    <w:uiPriority w:val="0"/>
    <w:rPr>
      <w:rFonts w:ascii="Arial" w:hAnsi="Arial" w:eastAsia="黑体" w:cs="Times New Roman"/>
      <w:b/>
      <w:bCs/>
      <w:sz w:val="32"/>
      <w:szCs w:val="32"/>
    </w:rPr>
  </w:style>
  <w:style w:type="character" w:customStyle="1" w:styleId="45">
    <w:name w:val="标题 3 字符"/>
    <w:basedOn w:val="34"/>
    <w:link w:val="5"/>
    <w:qFormat/>
    <w:uiPriority w:val="0"/>
    <w:rPr>
      <w:rFonts w:ascii="Times New Roman" w:hAnsi="Times New Roman" w:eastAsia="宋体" w:cs="Times New Roman"/>
      <w:b/>
      <w:sz w:val="32"/>
      <w:szCs w:val="20"/>
    </w:rPr>
  </w:style>
  <w:style w:type="character" w:customStyle="1" w:styleId="46">
    <w:name w:val="标题 4 字符"/>
    <w:basedOn w:val="34"/>
    <w:link w:val="7"/>
    <w:qFormat/>
    <w:uiPriority w:val="0"/>
    <w:rPr>
      <w:rFonts w:ascii="Arial" w:hAnsi="Arial" w:eastAsia="黑体" w:cs="Times New Roman"/>
      <w:b/>
      <w:bCs/>
      <w:sz w:val="28"/>
      <w:szCs w:val="28"/>
    </w:rPr>
  </w:style>
  <w:style w:type="character" w:customStyle="1" w:styleId="47">
    <w:name w:val="标题 5 字符"/>
    <w:basedOn w:val="34"/>
    <w:link w:val="8"/>
    <w:qFormat/>
    <w:uiPriority w:val="0"/>
    <w:rPr>
      <w:rFonts w:ascii="Times New Roman" w:hAnsi="Times New Roman" w:eastAsia="宋体" w:cs="Times New Roman"/>
      <w:b/>
      <w:bCs/>
      <w:sz w:val="28"/>
      <w:szCs w:val="28"/>
    </w:rPr>
  </w:style>
  <w:style w:type="character" w:customStyle="1" w:styleId="48">
    <w:name w:val="标题 6 字符"/>
    <w:basedOn w:val="34"/>
    <w:link w:val="9"/>
    <w:qFormat/>
    <w:uiPriority w:val="0"/>
    <w:rPr>
      <w:rFonts w:ascii="Arial" w:hAnsi="Arial" w:eastAsia="黑体" w:cs="Times New Roman"/>
      <w:b/>
      <w:bCs/>
      <w:sz w:val="24"/>
      <w:szCs w:val="24"/>
    </w:rPr>
  </w:style>
  <w:style w:type="character" w:customStyle="1" w:styleId="49">
    <w:name w:val="标题 7 字符"/>
    <w:basedOn w:val="34"/>
    <w:link w:val="10"/>
    <w:qFormat/>
    <w:uiPriority w:val="0"/>
    <w:rPr>
      <w:rFonts w:ascii="Times New Roman" w:hAnsi="Times New Roman" w:eastAsia="宋体" w:cs="Times New Roman"/>
      <w:b/>
      <w:bCs/>
      <w:sz w:val="24"/>
      <w:szCs w:val="24"/>
    </w:rPr>
  </w:style>
  <w:style w:type="character" w:customStyle="1" w:styleId="50">
    <w:name w:val="标题 8 字符"/>
    <w:basedOn w:val="34"/>
    <w:link w:val="11"/>
    <w:qFormat/>
    <w:uiPriority w:val="0"/>
    <w:rPr>
      <w:rFonts w:ascii="Arial" w:hAnsi="Arial" w:eastAsia="黑体" w:cs="Times New Roman"/>
      <w:sz w:val="24"/>
      <w:szCs w:val="24"/>
    </w:rPr>
  </w:style>
  <w:style w:type="character" w:customStyle="1" w:styleId="51">
    <w:name w:val="标题 9 字符"/>
    <w:basedOn w:val="34"/>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4"/>
    <w:link w:val="19"/>
    <w:qFormat/>
    <w:uiPriority w:val="0"/>
    <w:rPr>
      <w:rFonts w:ascii="宋体" w:hAnsi="Courier New" w:eastAsia="宋体" w:cs="Times New Roman"/>
      <w:szCs w:val="20"/>
    </w:rPr>
  </w:style>
  <w:style w:type="character" w:customStyle="1" w:styleId="54">
    <w:name w:val="日期 字符"/>
    <w:basedOn w:val="34"/>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4"/>
    <w:link w:val="16"/>
    <w:qFormat/>
    <w:uiPriority w:val="0"/>
    <w:rPr>
      <w:rFonts w:ascii="Times New Roman" w:hAnsi="Times New Roman" w:eastAsia="宋体" w:cs="Times New Roman"/>
      <w:szCs w:val="20"/>
    </w:rPr>
  </w:style>
  <w:style w:type="character" w:customStyle="1" w:styleId="105">
    <w:name w:val="正文文本缩进 字符"/>
    <w:basedOn w:val="34"/>
    <w:link w:val="17"/>
    <w:qFormat/>
    <w:uiPriority w:val="0"/>
    <w:rPr>
      <w:rFonts w:ascii="Times New Roman" w:hAnsi="Times New Roman" w:eastAsia="宋体" w:cs="Times New Roman"/>
      <w:szCs w:val="20"/>
    </w:rPr>
  </w:style>
  <w:style w:type="character" w:customStyle="1" w:styleId="106">
    <w:name w:val="副标题 字符"/>
    <w:basedOn w:val="34"/>
    <w:link w:val="25"/>
    <w:qFormat/>
    <w:uiPriority w:val="0"/>
    <w:rPr>
      <w:rFonts w:ascii="Arial" w:hAnsi="Arial" w:eastAsia="宋体" w:cs="Arial"/>
      <w:b/>
      <w:bCs/>
      <w:kern w:val="28"/>
      <w:sz w:val="32"/>
      <w:szCs w:val="32"/>
    </w:rPr>
  </w:style>
  <w:style w:type="character" w:customStyle="1" w:styleId="107">
    <w:name w:val="正文文本 2 字符"/>
    <w:basedOn w:val="34"/>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4"/>
    <w:link w:val="21"/>
    <w:qFormat/>
    <w:uiPriority w:val="0"/>
    <w:rPr>
      <w:rFonts w:ascii="华文仿宋" w:hAnsi="华文仿宋" w:eastAsia="华文仿宋" w:cs="Times New Roman"/>
      <w:sz w:val="32"/>
      <w:szCs w:val="20"/>
    </w:rPr>
  </w:style>
  <w:style w:type="character" w:customStyle="1" w:styleId="112">
    <w:name w:val="批注框文本 字符"/>
    <w:basedOn w:val="34"/>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4"/>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4"/>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4"/>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4"/>
    <w:link w:val="15"/>
    <w:qFormat/>
    <w:uiPriority w:val="0"/>
    <w:rPr>
      <w:rFonts w:ascii="Times New Roman" w:hAnsi="Times New Roman" w:eastAsia="宋体" w:cs="Times New Roman"/>
      <w:sz w:val="48"/>
      <w:szCs w:val="48"/>
    </w:rPr>
  </w:style>
  <w:style w:type="character" w:customStyle="1" w:styleId="178">
    <w:name w:val="批注主题 字符"/>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4"/>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4"/>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8236</Words>
  <Characters>8977</Characters>
  <Lines>63</Lines>
  <Paragraphs>17</Paragraphs>
  <TotalTime>31</TotalTime>
  <ScaleCrop>false</ScaleCrop>
  <LinksUpToDate>false</LinksUpToDate>
  <CharactersWithSpaces>9123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2023-05-29T06:43:34Z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