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红外光谱结石分析仪</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12</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13</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包一：红外光谱结石分析仪</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rPr>
        <w:t>日止</w:t>
      </w:r>
      <w:r>
        <w:rPr>
          <w:rFonts w:hint="eastAsia" w:ascii="宋体" w:hAnsi="宋体" w:eastAsia="宋体" w:cs="Times New Roman"/>
          <w:sz w:val="24"/>
          <w:szCs w:val="24"/>
          <w:highlight w:val="none"/>
        </w:rPr>
        <w:t>（星期六、日和节假日除外）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12</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号上海市中医医院采购处</w:t>
      </w:r>
    </w:p>
    <w:bookmarkEnd w:id="6"/>
    <w:bookmarkEnd w:id="7"/>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红外光谱结石分析仪</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b w:val="0"/>
                <w:bCs w:val="0"/>
                <w:kern w:val="0"/>
                <w:sz w:val="24"/>
                <w:szCs w:val="24"/>
                <w:lang w:val="en-US" w:eastAsia="zh-CN"/>
              </w:rPr>
              <w:t>红外光谱结石分析仪</w:t>
            </w:r>
            <w:r>
              <w:rPr>
                <w:rFonts w:hint="eastAsia" w:ascii="宋体" w:hAnsi="宋体" w:eastAsia="宋体" w:cs="宋体"/>
                <w:kern w:val="0"/>
                <w:sz w:val="24"/>
                <w:szCs w:val="24"/>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bookmarkStart w:id="18" w:name="_GoBack" w:colFirst="1" w:colLast="1"/>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kern w:val="0"/>
          <w:sz w:val="24"/>
          <w:szCs w:val="24"/>
          <w:lang w:val="en-US" w:eastAsia="zh-CN"/>
        </w:rPr>
        <w:t>红外光谱结石分析仪</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壹套</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泌尿外科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w:t>
            </w:r>
            <w:r>
              <w:rPr>
                <w:rFonts w:hint="eastAsia" w:ascii="宋体" w:hAnsi="宋体" w:eastAsia="宋体" w:cs="Times New Roman"/>
                <w:sz w:val="24"/>
                <w:szCs w:val="24"/>
                <w:lang w:val="en-US" w:eastAsia="zh-CN"/>
              </w:rPr>
              <w:t>套</w:t>
            </w:r>
            <w:r>
              <w:rPr>
                <w:rFonts w:hint="eastAsia" w:ascii="宋体" w:hAnsi="宋体" w:eastAsia="宋体"/>
                <w:sz w:val="24"/>
                <w:szCs w:val="24"/>
              </w:rPr>
              <w:t>）</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泌尿外科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3"/>
        </w:numPr>
        <w:ind w:left="0" w:leftChars="0" w:firstLine="0" w:firstLineChars="0"/>
        <w:rPr>
          <w:rFonts w:hint="eastAsia" w:ascii="宋体" w:hAnsi="宋体" w:eastAsia="宋体"/>
          <w:sz w:val="24"/>
          <w:szCs w:val="24"/>
        </w:rPr>
      </w:pPr>
      <w:r>
        <w:rPr>
          <w:rFonts w:hint="eastAsia" w:ascii="宋体" w:hAnsi="宋体" w:eastAsia="宋体"/>
          <w:sz w:val="24"/>
          <w:szCs w:val="24"/>
        </w:rPr>
        <w:t>技术指标要求：</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1、预期用途：运用于适合采用红外光谱分析法的泌尿系结石成分的定性分析，根据结石成份自动提供相应的预防措施和自检报告。</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2、原理：采用物理红外光谱自动分析法，并结合临床结石成分分析的医学检验依据，通过数模计算的方式自动得出结石准确成分，并自动提供相应的防治方案和自检报告。</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3、设备主机技术参数</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3.1、100%τ线噪声：</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4100-4000 cm</w:t>
      </w:r>
      <w:r>
        <w:rPr>
          <w:rFonts w:hint="eastAsia" w:ascii="宋体" w:hAnsi="宋体" w:eastAsia="宋体" w:cs="宋体"/>
          <w:kern w:val="0"/>
          <w:sz w:val="24"/>
          <w:szCs w:val="24"/>
          <w:vertAlign w:val="superscript"/>
        </w:rPr>
        <w:t>-1</w:t>
      </w:r>
      <w:r>
        <w:rPr>
          <w:rFonts w:hint="eastAsia" w:ascii="宋体" w:hAnsi="宋体" w:eastAsia="宋体" w:cs="宋体"/>
          <w:kern w:val="0"/>
          <w:sz w:val="24"/>
          <w:szCs w:val="24"/>
        </w:rPr>
        <w:t xml:space="preserve"> （RMS≤1:2500）</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2200-2100（或 2100-2000）cm</w:t>
      </w:r>
      <w:r>
        <w:rPr>
          <w:rFonts w:hint="eastAsia" w:ascii="宋体" w:hAnsi="宋体" w:eastAsia="宋体" w:cs="宋体"/>
          <w:kern w:val="0"/>
          <w:sz w:val="24"/>
          <w:szCs w:val="24"/>
          <w:vertAlign w:val="superscript"/>
        </w:rPr>
        <w:t>-1</w:t>
      </w:r>
      <w:r>
        <w:rPr>
          <w:rFonts w:hint="eastAsia" w:ascii="宋体" w:hAnsi="宋体" w:eastAsia="宋体" w:cs="宋体"/>
          <w:kern w:val="0"/>
          <w:sz w:val="24"/>
          <w:szCs w:val="24"/>
        </w:rPr>
        <w:t>（RMS≤1:8000）</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1000-900 cm-1（RMS≤1:2500）</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3.2、光谱拓展范围：7800-350 cm</w:t>
      </w:r>
      <w:r>
        <w:rPr>
          <w:rFonts w:hint="eastAsia" w:ascii="宋体" w:hAnsi="宋体" w:eastAsia="宋体" w:cs="宋体"/>
          <w:kern w:val="0"/>
          <w:sz w:val="24"/>
          <w:szCs w:val="24"/>
          <w:vertAlign w:val="superscript"/>
        </w:rPr>
        <w:t>-1</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3.3、本底光谱能量分布：4000 cm</w:t>
      </w:r>
      <w:r>
        <w:rPr>
          <w:rFonts w:hint="eastAsia" w:ascii="宋体" w:hAnsi="宋体" w:eastAsia="宋体" w:cs="宋体"/>
          <w:kern w:val="0"/>
          <w:sz w:val="24"/>
          <w:szCs w:val="24"/>
          <w:vertAlign w:val="superscript"/>
        </w:rPr>
        <w:t>-1</w:t>
      </w:r>
      <w:r>
        <w:rPr>
          <w:rFonts w:hint="eastAsia" w:ascii="宋体" w:hAnsi="宋体" w:eastAsia="宋体" w:cs="宋体"/>
          <w:kern w:val="0"/>
          <w:sz w:val="24"/>
          <w:szCs w:val="24"/>
        </w:rPr>
        <w:t>处能量值应不小于最高点能量值的20%</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b w:val="0"/>
          <w:bCs/>
          <w:sz w:val="24"/>
          <w:szCs w:val="24"/>
          <w:lang w:val="en-US" w:eastAsia="zh-CN"/>
        </w:rPr>
        <w:t>★</w:t>
      </w:r>
      <w:r>
        <w:rPr>
          <w:rFonts w:hint="eastAsia" w:ascii="宋体" w:hAnsi="宋体" w:eastAsia="宋体" w:cs="宋体"/>
          <w:kern w:val="0"/>
          <w:sz w:val="24"/>
          <w:szCs w:val="24"/>
        </w:rPr>
        <w:t>3.4、分辨率： 1.0 cm</w:t>
      </w:r>
      <w:r>
        <w:rPr>
          <w:rFonts w:hint="eastAsia" w:ascii="宋体" w:hAnsi="宋体" w:eastAsia="宋体" w:cs="宋体"/>
          <w:kern w:val="0"/>
          <w:sz w:val="24"/>
          <w:szCs w:val="24"/>
          <w:vertAlign w:val="superscript"/>
        </w:rPr>
        <w:t>-1</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3.5、100%τ线倾斜范围： </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800-500 cm-1（98.0-102.0%τ）</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2200-1900 cm-1（99.5-100.5%τ）</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3200-2800 cm-1（99.5-100.5%τ）</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4400-4000 cm-1（98.5-101.5%τ）</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3.6、波数准确度：仪器波数准确度应不超过±1 cm</w:t>
      </w:r>
      <w:r>
        <w:rPr>
          <w:rFonts w:hint="eastAsia" w:ascii="宋体" w:hAnsi="宋体" w:eastAsia="宋体" w:cs="宋体"/>
          <w:kern w:val="0"/>
          <w:sz w:val="24"/>
          <w:szCs w:val="24"/>
          <w:vertAlign w:val="superscript"/>
        </w:rPr>
        <w:t>-1</w:t>
      </w:r>
      <w:r>
        <w:rPr>
          <w:rFonts w:hint="eastAsia" w:ascii="宋体" w:hAnsi="宋体" w:eastAsia="宋体" w:cs="宋体"/>
          <w:kern w:val="0"/>
          <w:sz w:val="24"/>
          <w:szCs w:val="24"/>
        </w:rPr>
        <w:t>。</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3.7、光源：红外光源（高效能的陶瓷空冷红外光源）</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b w:val="0"/>
          <w:bCs/>
          <w:sz w:val="24"/>
          <w:szCs w:val="24"/>
          <w:lang w:val="en-US" w:eastAsia="zh-CN"/>
        </w:rPr>
        <w:t>★</w:t>
      </w:r>
      <w:r>
        <w:rPr>
          <w:rFonts w:hint="eastAsia" w:ascii="宋体" w:hAnsi="宋体" w:eastAsia="宋体" w:cs="宋体"/>
          <w:kern w:val="0"/>
          <w:sz w:val="24"/>
          <w:szCs w:val="24"/>
        </w:rPr>
        <w:t>3.8、仪器自检：仪器定期自诊断或联网诊断，并自动生成自检评估报告，引入精准、及时的客户服务，减轻了操作人员对仪器维护的工作量，解决使用过程中的一切隐患，保证分析结果的准确性。（有仪器自检硬件配套工具）。</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3.9、性能：全自动化：可全自动分析结石的精准成分,自动提供完整的检测预防报告，自动进行仪器自诊断或联网诊断，并出具自检报告，最大化防止仪器故障，保证分析结果的准确性。</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3.10、远程网络监控设备的使用情况，联网时报告将自动上传至公司的数据服务器，可对未检出成分进行指导分析，远程升级数据库，更适合临床发展的需要，（具有远程监控硬件配套工具）。</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3.11、提供检测报告单及自检报告：仪器自动生成自检报告，并根据结石成分自动给出相应的规范化防治方案的检验报告单。</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3.12、图谱解析：完全自动解析红外谱图，自动得出具体精准成分，无需人工对比。</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3.13、防治方案：规范化防治方案根据《外科学》，更具有临床实用性。</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3.14、可分析晶体成分、非晶体成分、无机化合物、有机化合物。</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4、配置</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4.1、标准配置：主机、计算机、电源适配器、操作软件、电子干燥箱、微量天平、远程监控及仪器自检工具、干燥剂等。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4.2、制样设备（压片机、玛瑙研钵、压片模具、烘箱、溴化钾）、打印机、温湿度计。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★5、承担HIS接口费用。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b w:val="0"/>
          <w:bCs/>
          <w:sz w:val="24"/>
          <w:szCs w:val="24"/>
          <w:lang w:val="en-US" w:eastAsia="zh-CN"/>
        </w:rPr>
        <w:t>★6、原厂质保≥3年。</w:t>
      </w:r>
      <w:r>
        <w:rPr>
          <w:rFonts w:hint="eastAsia" w:ascii="宋体" w:hAnsi="宋体" w:eastAsia="宋体" w:cs="宋体"/>
          <w:b/>
          <w:sz w:val="24"/>
          <w:szCs w:val="24"/>
        </w:rPr>
        <w:br w:type="page"/>
      </w: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C012ED"/>
    <w:rsid w:val="01DA343F"/>
    <w:rsid w:val="037F0B26"/>
    <w:rsid w:val="046C7126"/>
    <w:rsid w:val="047D221A"/>
    <w:rsid w:val="04FA4B16"/>
    <w:rsid w:val="059503E5"/>
    <w:rsid w:val="05D709B3"/>
    <w:rsid w:val="06710E08"/>
    <w:rsid w:val="072D11D3"/>
    <w:rsid w:val="07C20BED"/>
    <w:rsid w:val="088937C8"/>
    <w:rsid w:val="08FD6983"/>
    <w:rsid w:val="0A7753AE"/>
    <w:rsid w:val="0B001E0F"/>
    <w:rsid w:val="0B517B04"/>
    <w:rsid w:val="0BF00DA4"/>
    <w:rsid w:val="0C9A1884"/>
    <w:rsid w:val="0EB045BA"/>
    <w:rsid w:val="0EF02652"/>
    <w:rsid w:val="124770E1"/>
    <w:rsid w:val="129544B2"/>
    <w:rsid w:val="13F2222D"/>
    <w:rsid w:val="171A5BFB"/>
    <w:rsid w:val="1738378D"/>
    <w:rsid w:val="17BC68BF"/>
    <w:rsid w:val="19DC576F"/>
    <w:rsid w:val="19EE47F1"/>
    <w:rsid w:val="1A102FF2"/>
    <w:rsid w:val="1A5F06D7"/>
    <w:rsid w:val="1ADF745C"/>
    <w:rsid w:val="1C70162B"/>
    <w:rsid w:val="1DBC650F"/>
    <w:rsid w:val="1E4F1A12"/>
    <w:rsid w:val="206F557C"/>
    <w:rsid w:val="21452BB3"/>
    <w:rsid w:val="22173DBE"/>
    <w:rsid w:val="22AA393E"/>
    <w:rsid w:val="22E569AE"/>
    <w:rsid w:val="233F4233"/>
    <w:rsid w:val="2413315A"/>
    <w:rsid w:val="242A28CA"/>
    <w:rsid w:val="252C3901"/>
    <w:rsid w:val="2598727A"/>
    <w:rsid w:val="25B97D43"/>
    <w:rsid w:val="271D349F"/>
    <w:rsid w:val="275B1B2A"/>
    <w:rsid w:val="275E3B93"/>
    <w:rsid w:val="28BA5071"/>
    <w:rsid w:val="29757C17"/>
    <w:rsid w:val="2A051D79"/>
    <w:rsid w:val="2B1346B0"/>
    <w:rsid w:val="2B2963D3"/>
    <w:rsid w:val="2B822FEC"/>
    <w:rsid w:val="2E287082"/>
    <w:rsid w:val="2F2C5770"/>
    <w:rsid w:val="2F397E65"/>
    <w:rsid w:val="327B0210"/>
    <w:rsid w:val="33833DA5"/>
    <w:rsid w:val="34EE008B"/>
    <w:rsid w:val="35805CB4"/>
    <w:rsid w:val="36CA3141"/>
    <w:rsid w:val="375A17A7"/>
    <w:rsid w:val="38593614"/>
    <w:rsid w:val="38EC5F48"/>
    <w:rsid w:val="39301A51"/>
    <w:rsid w:val="3A5D54C6"/>
    <w:rsid w:val="3BF15DAC"/>
    <w:rsid w:val="3CD70CBD"/>
    <w:rsid w:val="3D6B7329"/>
    <w:rsid w:val="3DA4759C"/>
    <w:rsid w:val="3DFE745B"/>
    <w:rsid w:val="3E2B711B"/>
    <w:rsid w:val="3E2D1012"/>
    <w:rsid w:val="3F4B553E"/>
    <w:rsid w:val="409018AF"/>
    <w:rsid w:val="412709D8"/>
    <w:rsid w:val="41627833"/>
    <w:rsid w:val="416D419A"/>
    <w:rsid w:val="421443FB"/>
    <w:rsid w:val="427239F0"/>
    <w:rsid w:val="433E5FF5"/>
    <w:rsid w:val="43426C26"/>
    <w:rsid w:val="44307631"/>
    <w:rsid w:val="44E76487"/>
    <w:rsid w:val="4668169A"/>
    <w:rsid w:val="49B25227"/>
    <w:rsid w:val="49CB3958"/>
    <w:rsid w:val="4B783997"/>
    <w:rsid w:val="4B863339"/>
    <w:rsid w:val="4D25098E"/>
    <w:rsid w:val="4D77632F"/>
    <w:rsid w:val="4D9C1966"/>
    <w:rsid w:val="4E7C3473"/>
    <w:rsid w:val="4EC83D94"/>
    <w:rsid w:val="501778F7"/>
    <w:rsid w:val="50890EF3"/>
    <w:rsid w:val="511278FC"/>
    <w:rsid w:val="52B54FEA"/>
    <w:rsid w:val="52C021AE"/>
    <w:rsid w:val="536F70C2"/>
    <w:rsid w:val="5371335C"/>
    <w:rsid w:val="5389510F"/>
    <w:rsid w:val="542637B8"/>
    <w:rsid w:val="565C0D3F"/>
    <w:rsid w:val="56C17F84"/>
    <w:rsid w:val="56E97E3E"/>
    <w:rsid w:val="571A5DA5"/>
    <w:rsid w:val="575256B8"/>
    <w:rsid w:val="57931FDC"/>
    <w:rsid w:val="584A2B82"/>
    <w:rsid w:val="5912342D"/>
    <w:rsid w:val="599F736E"/>
    <w:rsid w:val="59A549DC"/>
    <w:rsid w:val="5AF47091"/>
    <w:rsid w:val="5B7B7104"/>
    <w:rsid w:val="5C3F2B37"/>
    <w:rsid w:val="5CF501E7"/>
    <w:rsid w:val="5E4E4400"/>
    <w:rsid w:val="5E5E67D4"/>
    <w:rsid w:val="5F9429F0"/>
    <w:rsid w:val="6042276E"/>
    <w:rsid w:val="60BA47AE"/>
    <w:rsid w:val="623B318E"/>
    <w:rsid w:val="6343656A"/>
    <w:rsid w:val="63D92820"/>
    <w:rsid w:val="64917820"/>
    <w:rsid w:val="667D50FC"/>
    <w:rsid w:val="67F0315B"/>
    <w:rsid w:val="685F15E7"/>
    <w:rsid w:val="694638A8"/>
    <w:rsid w:val="695A7333"/>
    <w:rsid w:val="6A0856B9"/>
    <w:rsid w:val="6A141F42"/>
    <w:rsid w:val="6A1879E8"/>
    <w:rsid w:val="6B792AC7"/>
    <w:rsid w:val="6CE12E64"/>
    <w:rsid w:val="6CEA0C57"/>
    <w:rsid w:val="6D024D8C"/>
    <w:rsid w:val="6ECC7A0D"/>
    <w:rsid w:val="6F490848"/>
    <w:rsid w:val="70EA395C"/>
    <w:rsid w:val="71A30B93"/>
    <w:rsid w:val="727F0666"/>
    <w:rsid w:val="734A52EE"/>
    <w:rsid w:val="7397006E"/>
    <w:rsid w:val="740D6797"/>
    <w:rsid w:val="75CC49D7"/>
    <w:rsid w:val="77111160"/>
    <w:rsid w:val="771F11FC"/>
    <w:rsid w:val="77C35AEB"/>
    <w:rsid w:val="77E6082D"/>
    <w:rsid w:val="77E67A2B"/>
    <w:rsid w:val="79715BD1"/>
    <w:rsid w:val="7A5944E4"/>
    <w:rsid w:val="7A772BBC"/>
    <w:rsid w:val="7B172D9A"/>
    <w:rsid w:val="7C3A20F4"/>
    <w:rsid w:val="7C52568F"/>
    <w:rsid w:val="7C6158D2"/>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4"/>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qFormat/>
    <w:uiPriority w:val="0"/>
    <w:pPr>
      <w:autoSpaceDE w:val="0"/>
      <w:autoSpaceDN w:val="0"/>
      <w:spacing w:line="560" w:lineRule="exact"/>
      <w:ind w:firstLine="100" w:firstLineChars="100"/>
    </w:pPr>
    <w:rPr>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2"/>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8"/>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229">
    <w:name w:val="列表段落1"/>
    <w:basedOn w:val="1"/>
    <w:qFormat/>
    <w:uiPriority w:val="0"/>
    <w:pPr>
      <w:ind w:firstLine="420" w:firstLineChars="200"/>
    </w:pPr>
    <w:rPr>
      <w:szCs w:val="24"/>
    </w:rPr>
  </w:style>
  <w:style w:type="paragraph" w:customStyle="1" w:styleId="230">
    <w:name w:val="章标题"/>
    <w:next w:val="1"/>
    <w:qFormat/>
    <w:uiPriority w:val="0"/>
    <w:pPr>
      <w:spacing w:before="156" w:beforeLines="50" w:after="156" w:afterLines="50"/>
      <w:jc w:val="both"/>
      <w:outlineLvl w:val="1"/>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9347</Words>
  <Characters>10334</Characters>
  <Lines>76</Lines>
  <Paragraphs>21</Paragraphs>
  <TotalTime>1</TotalTime>
  <ScaleCrop>false</ScaleCrop>
  <LinksUpToDate>false</LinksUpToDate>
  <CharactersWithSpaces>10580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2023-12-12T06:29:03Z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F52D24A478984F87A5CFA8D6073A2D72_13</vt:lpwstr>
  </property>
</Properties>
</file>