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bookmarkEnd w:id="0"/>
    <w:p>
      <w:pPr>
        <w:adjustRightInd w:val="0"/>
        <w:spacing w:line="360" w:lineRule="auto"/>
        <w:jc w:val="center"/>
        <w:textAlignment w:val="baseline"/>
        <w:outlineLvl w:val="0"/>
        <w:rPr>
          <w:rFonts w:ascii="Times New Roman" w:hAnsi="Times New Roman" w:eastAsia="宋体" w:cs="宋体"/>
          <w:b/>
          <w:color w:val="000000" w:themeColor="text1"/>
          <w:sz w:val="48"/>
          <w:szCs w:val="48"/>
        </w:rPr>
      </w:pPr>
      <w:r>
        <w:rPr>
          <w:rFonts w:hint="eastAsia" w:ascii="Times New Roman" w:hAnsi="Times New Roman" w:eastAsia="宋体" w:cs="宋体"/>
          <w:b/>
          <w:color w:val="000000" w:themeColor="text1"/>
          <w:sz w:val="48"/>
          <w:szCs w:val="48"/>
        </w:rPr>
        <w:t>竞争性谈判文件</w:t>
      </w:r>
    </w:p>
    <w:p>
      <w:pPr>
        <w:tabs>
          <w:tab w:val="left" w:pos="3150"/>
        </w:tabs>
        <w:spacing w:line="360" w:lineRule="auto"/>
        <w:jc w:val="center"/>
        <w:rPr>
          <w:rFonts w:ascii="Times New Roman" w:hAnsi="Times New Roman" w:eastAsia="宋体" w:cs="宋体"/>
          <w:b/>
          <w:color w:val="000000" w:themeColor="text1"/>
          <w:sz w:val="32"/>
          <w:szCs w:val="20"/>
        </w:rPr>
      </w:pPr>
    </w:p>
    <w:p>
      <w:pPr>
        <w:tabs>
          <w:tab w:val="left" w:pos="3150"/>
        </w:tabs>
        <w:spacing w:line="360" w:lineRule="auto"/>
        <w:jc w:val="center"/>
        <w:rPr>
          <w:rFonts w:ascii="Times New Roman" w:hAnsi="Times New Roman" w:eastAsia="宋体" w:cs="宋体"/>
          <w:b/>
          <w:color w:val="000000" w:themeColor="text1"/>
          <w:sz w:val="32"/>
          <w:szCs w:val="20"/>
        </w:rPr>
      </w:pPr>
    </w:p>
    <w:p>
      <w:pPr>
        <w:tabs>
          <w:tab w:val="left" w:pos="3150"/>
        </w:tabs>
        <w:spacing w:line="360" w:lineRule="auto"/>
        <w:jc w:val="center"/>
        <w:rPr>
          <w:rFonts w:ascii="Times New Roman" w:hAnsi="Times New Roman" w:eastAsia="宋体" w:cs="宋体"/>
          <w:b/>
          <w:color w:val="000000" w:themeColor="text1"/>
          <w:sz w:val="32"/>
          <w:szCs w:val="20"/>
        </w:rPr>
      </w:pPr>
    </w:p>
    <w:p>
      <w:pPr>
        <w:tabs>
          <w:tab w:val="left" w:pos="3150"/>
        </w:tabs>
        <w:spacing w:line="360" w:lineRule="auto"/>
        <w:jc w:val="center"/>
        <w:rPr>
          <w:rFonts w:ascii="Times New Roman" w:hAnsi="Times New Roman" w:eastAsia="宋体" w:cs="宋体"/>
          <w:b/>
          <w:color w:val="000000" w:themeColor="text1"/>
          <w:sz w:val="32"/>
          <w:szCs w:val="20"/>
        </w:rPr>
      </w:pPr>
    </w:p>
    <w:p>
      <w:pPr>
        <w:tabs>
          <w:tab w:val="left" w:pos="3150"/>
        </w:tabs>
        <w:spacing w:line="360" w:lineRule="auto"/>
        <w:jc w:val="center"/>
        <w:rPr>
          <w:rFonts w:ascii="Times New Roman" w:hAnsi="Times New Roman" w:eastAsia="宋体" w:cs="宋体"/>
          <w:b/>
          <w:color w:val="000000" w:themeColor="text1"/>
          <w:sz w:val="32"/>
          <w:szCs w:val="20"/>
        </w:rPr>
      </w:pPr>
    </w:p>
    <w:p>
      <w:pPr>
        <w:tabs>
          <w:tab w:val="left" w:pos="3150"/>
        </w:tabs>
        <w:spacing w:line="360" w:lineRule="auto"/>
        <w:ind w:firstLine="2880" w:firstLineChars="800"/>
        <w:rPr>
          <w:rFonts w:ascii="Times New Roman" w:hAnsi="Times New Roman" w:eastAsia="宋体" w:cs="宋体"/>
          <w:b/>
          <w:color w:val="000000" w:themeColor="text1"/>
          <w:sz w:val="36"/>
          <w:szCs w:val="36"/>
        </w:rPr>
      </w:pPr>
      <w:r>
        <w:rPr>
          <w:rFonts w:hint="eastAsia" w:ascii="Times New Roman" w:hAnsi="Times New Roman" w:eastAsia="宋体" w:cs="宋体"/>
          <w:b/>
          <w:color w:val="000000" w:themeColor="text1"/>
          <w:sz w:val="36"/>
          <w:szCs w:val="36"/>
        </w:rPr>
        <w:t>采购人：上海市中医医院</w:t>
      </w:r>
    </w:p>
    <w:p>
      <w:pPr>
        <w:tabs>
          <w:tab w:val="left" w:pos="2730"/>
        </w:tabs>
        <w:spacing w:line="360" w:lineRule="auto"/>
        <w:ind w:left="723" w:hanging="720" w:hangingChars="200"/>
        <w:jc w:val="center"/>
        <w:rPr>
          <w:rFonts w:ascii="Times New Roman" w:hAnsi="Times New Roman" w:eastAsia="宋体" w:cs="宋体"/>
          <w:b/>
          <w:color w:val="000000" w:themeColor="text1"/>
          <w:sz w:val="36"/>
          <w:szCs w:val="36"/>
        </w:rPr>
      </w:pPr>
    </w:p>
    <w:p>
      <w:pPr>
        <w:tabs>
          <w:tab w:val="left" w:pos="2730"/>
        </w:tabs>
        <w:spacing w:line="360" w:lineRule="auto"/>
        <w:ind w:left="723" w:hanging="720" w:hangingChars="200"/>
        <w:jc w:val="center"/>
        <w:rPr>
          <w:rFonts w:ascii="Times New Roman" w:hAnsi="Times New Roman" w:eastAsia="宋体" w:cs="宋体"/>
          <w:b/>
          <w:color w:val="000000" w:themeColor="text1"/>
          <w:sz w:val="36"/>
          <w:szCs w:val="36"/>
        </w:rPr>
      </w:pPr>
    </w:p>
    <w:p>
      <w:pPr>
        <w:tabs>
          <w:tab w:val="left" w:pos="2730"/>
        </w:tabs>
        <w:spacing w:line="360" w:lineRule="auto"/>
        <w:ind w:left="723" w:hanging="720" w:hangingChars="200"/>
        <w:jc w:val="center"/>
        <w:rPr>
          <w:rFonts w:ascii="Times New Roman" w:hAnsi="Times New Roman" w:eastAsia="宋体" w:cs="宋体"/>
          <w:b/>
          <w:color w:val="000000" w:themeColor="text1"/>
          <w:sz w:val="36"/>
          <w:szCs w:val="36"/>
        </w:rPr>
      </w:pPr>
    </w:p>
    <w:p>
      <w:pPr>
        <w:tabs>
          <w:tab w:val="left" w:pos="2730"/>
        </w:tabs>
        <w:spacing w:line="360" w:lineRule="auto"/>
        <w:ind w:left="723" w:hanging="720" w:hangingChars="200"/>
        <w:jc w:val="center"/>
        <w:rPr>
          <w:rFonts w:ascii="Times New Roman" w:hAnsi="Times New Roman" w:eastAsia="宋体" w:cs="宋体"/>
          <w:b/>
          <w:color w:val="000000" w:themeColor="text1"/>
          <w:sz w:val="36"/>
          <w:szCs w:val="36"/>
        </w:rPr>
      </w:pPr>
    </w:p>
    <w:p>
      <w:pPr>
        <w:tabs>
          <w:tab w:val="left" w:pos="2730"/>
        </w:tabs>
        <w:spacing w:line="360" w:lineRule="auto"/>
        <w:ind w:left="723" w:hanging="720" w:hangingChars="200"/>
        <w:jc w:val="center"/>
        <w:rPr>
          <w:rFonts w:ascii="Times New Roman" w:hAnsi="Times New Roman" w:eastAsia="宋体" w:cs="宋体"/>
          <w:b/>
          <w:color w:val="000000" w:themeColor="text1"/>
          <w:sz w:val="36"/>
          <w:szCs w:val="36"/>
        </w:rPr>
      </w:pPr>
    </w:p>
    <w:p>
      <w:pPr>
        <w:tabs>
          <w:tab w:val="left" w:pos="2730"/>
        </w:tabs>
        <w:spacing w:line="360" w:lineRule="auto"/>
        <w:ind w:left="723" w:hanging="720" w:hangingChars="200"/>
        <w:jc w:val="center"/>
        <w:rPr>
          <w:rFonts w:ascii="Times New Roman" w:hAnsi="Times New Roman" w:eastAsia="宋体" w:cs="宋体"/>
          <w:b/>
          <w:color w:val="000000" w:themeColor="text1"/>
          <w:sz w:val="36"/>
          <w:szCs w:val="36"/>
        </w:rPr>
      </w:pPr>
    </w:p>
    <w:p>
      <w:pPr>
        <w:tabs>
          <w:tab w:val="left" w:pos="2730"/>
        </w:tabs>
        <w:spacing w:line="360" w:lineRule="auto"/>
        <w:ind w:left="723" w:hanging="720" w:hangingChars="200"/>
        <w:jc w:val="center"/>
        <w:rPr>
          <w:rFonts w:ascii="Times New Roman" w:hAnsi="Times New Roman" w:eastAsia="宋体" w:cs="宋体"/>
          <w:b/>
          <w:color w:val="000000" w:themeColor="text1"/>
          <w:sz w:val="36"/>
          <w:szCs w:val="36"/>
        </w:rPr>
      </w:pPr>
    </w:p>
    <w:p>
      <w:pPr>
        <w:tabs>
          <w:tab w:val="left" w:pos="2730"/>
        </w:tabs>
        <w:spacing w:line="360" w:lineRule="auto"/>
        <w:ind w:left="723" w:hanging="720" w:hangingChars="200"/>
        <w:jc w:val="center"/>
        <w:rPr>
          <w:rFonts w:ascii="Times New Roman" w:hAnsi="Times New Roman" w:eastAsia="宋体" w:cs="宋体"/>
          <w:b/>
          <w:color w:val="000000" w:themeColor="text1"/>
          <w:sz w:val="36"/>
          <w:szCs w:val="36"/>
        </w:rPr>
      </w:pPr>
    </w:p>
    <w:p>
      <w:pPr>
        <w:tabs>
          <w:tab w:val="left" w:pos="2730"/>
        </w:tabs>
        <w:spacing w:line="360" w:lineRule="auto"/>
        <w:ind w:left="723" w:hanging="720" w:hangingChars="200"/>
        <w:jc w:val="center"/>
        <w:rPr>
          <w:rFonts w:ascii="Times New Roman" w:hAnsi="Times New Roman" w:eastAsia="宋体" w:cs="宋体"/>
          <w:b/>
          <w:color w:val="000000" w:themeColor="text1"/>
          <w:sz w:val="36"/>
          <w:szCs w:val="36"/>
        </w:rPr>
      </w:pPr>
    </w:p>
    <w:p>
      <w:pPr>
        <w:tabs>
          <w:tab w:val="left" w:pos="2730"/>
        </w:tabs>
        <w:spacing w:line="360" w:lineRule="auto"/>
        <w:ind w:left="723" w:hanging="720" w:hangingChars="200"/>
        <w:jc w:val="center"/>
        <w:rPr>
          <w:rFonts w:ascii="Times New Roman" w:hAnsi="Times New Roman" w:eastAsia="宋体" w:cs="宋体"/>
          <w:b/>
          <w:color w:val="000000" w:themeColor="text1"/>
          <w:sz w:val="36"/>
          <w:szCs w:val="36"/>
        </w:rPr>
      </w:pPr>
    </w:p>
    <w:p>
      <w:pPr>
        <w:tabs>
          <w:tab w:val="left" w:pos="2730"/>
        </w:tabs>
        <w:spacing w:line="360" w:lineRule="auto"/>
        <w:ind w:left="723" w:hanging="720" w:hangingChars="200"/>
        <w:jc w:val="center"/>
        <w:rPr>
          <w:rFonts w:ascii="Times New Roman" w:hAnsi="Times New Roman" w:eastAsia="宋体" w:cs="宋体"/>
          <w:b/>
          <w:bCs/>
          <w:sz w:val="36"/>
          <w:szCs w:val="36"/>
        </w:rPr>
      </w:pPr>
      <w:r>
        <w:rPr>
          <w:rFonts w:hint="eastAsia" w:ascii="Times New Roman" w:hAnsi="Times New Roman" w:eastAsia="宋体" w:cs="宋体"/>
          <w:b/>
          <w:sz w:val="36"/>
          <w:szCs w:val="36"/>
        </w:rPr>
        <w:t>202</w:t>
      </w:r>
      <w:r>
        <w:rPr>
          <w:rFonts w:hint="eastAsia" w:ascii="Times New Roman" w:hAnsi="Times New Roman" w:eastAsia="宋体" w:cs="宋体"/>
          <w:b/>
          <w:sz w:val="36"/>
          <w:szCs w:val="36"/>
          <w:lang w:val="en-US" w:eastAsia="zh-CN"/>
        </w:rPr>
        <w:t>3</w:t>
      </w:r>
      <w:r>
        <w:rPr>
          <w:rFonts w:hint="eastAsia" w:ascii="Times New Roman" w:hAnsi="Times New Roman" w:eastAsia="宋体" w:cs="宋体"/>
          <w:b/>
          <w:sz w:val="36"/>
          <w:szCs w:val="36"/>
        </w:rPr>
        <w:t>年</w:t>
      </w:r>
      <w:r>
        <w:rPr>
          <w:rFonts w:hint="eastAsia" w:ascii="Times New Roman" w:hAnsi="Times New Roman" w:eastAsia="宋体" w:cs="宋体"/>
          <w:b/>
          <w:sz w:val="36"/>
          <w:szCs w:val="36"/>
          <w:lang w:val="en-US" w:eastAsia="zh-CN"/>
        </w:rPr>
        <w:t>1</w:t>
      </w:r>
      <w:r>
        <w:rPr>
          <w:rFonts w:hint="eastAsia" w:ascii="Times New Roman" w:hAnsi="Times New Roman" w:eastAsia="宋体" w:cs="宋体"/>
          <w:b/>
          <w:sz w:val="36"/>
          <w:szCs w:val="36"/>
        </w:rPr>
        <w:t>月</w:t>
      </w:r>
    </w:p>
    <w:p>
      <w:pPr>
        <w:pageBreakBefore/>
        <w:tabs>
          <w:tab w:val="left" w:pos="2730"/>
        </w:tabs>
        <w:spacing w:line="360" w:lineRule="auto"/>
        <w:ind w:left="964" w:hanging="960" w:hangingChars="200"/>
        <w:jc w:val="center"/>
        <w:rPr>
          <w:rFonts w:ascii="宋体" w:hAnsi="宋体" w:eastAsia="宋体" w:cs="Times New Roman"/>
          <w:b/>
          <w:bCs/>
          <w:sz w:val="48"/>
          <w:szCs w:val="20"/>
        </w:rPr>
      </w:pPr>
      <w:r>
        <w:rPr>
          <w:rFonts w:hint="eastAsia" w:ascii="宋体" w:hAnsi="宋体" w:eastAsia="宋体" w:cs="Times New Roman"/>
          <w:b/>
          <w:bCs/>
          <w:sz w:val="48"/>
          <w:szCs w:val="20"/>
        </w:rPr>
        <w:t>第二册</w:t>
      </w: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竞争性谈判邀请</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竞争性谈判资料表</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t>3</w:t>
      </w:r>
      <w:r>
        <w:rPr>
          <w:rFonts w:ascii="Times New Roman" w:hAnsi="Times New Roman" w:eastAsia="华文仿宋" w:cs="Times New Roman"/>
          <w:b/>
          <w:sz w:val="24"/>
          <w:szCs w:val="36"/>
        </w:rPr>
        <w:fldChar w:fldCharType="end"/>
      </w:r>
      <w:bookmarkStart w:id="17" w:name="_GoBack"/>
      <w:bookmarkEnd w:id="17"/>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货物需求一览表及技术参数</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t>0</w:t>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Times New Roman" w:hAnsi="Times New Roman"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hint="eastAsia"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4</w:t>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Times New Roman" w:hAnsi="Times New Roman"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5</w:t>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_Toc11326092"/>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竞争性谈判邀请</w:t>
      </w:r>
      <w:bookmarkEnd w:id="1"/>
      <w:bookmarkEnd w:id="2"/>
    </w:p>
    <w:p>
      <w:pPr>
        <w:spacing w:line="360" w:lineRule="auto"/>
        <w:ind w:left="425" w:hanging="424" w:hangingChars="177"/>
        <w:rPr>
          <w:rFonts w:ascii="宋体" w:hAnsi="宋体" w:eastAsia="宋体" w:cs="Times New Roman"/>
          <w:sz w:val="24"/>
          <w:szCs w:val="24"/>
        </w:rPr>
      </w:pPr>
      <w:bookmarkStart w:id="3" w:name="_Toc461613005"/>
      <w:bookmarkStart w:id="4"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、上海市中医医院现以公开采购的方式邀请合格的供应商就下列所提供的货物和相关服务提交密封竞争性谈判响应文件。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项目名称：</w:t>
      </w:r>
    </w:p>
    <w:bookmarkEnd w:id="3"/>
    <w:bookmarkEnd w:id="4"/>
    <w:p>
      <w:pPr>
        <w:autoSpaceDE w:val="0"/>
        <w:autoSpaceDN w:val="0"/>
        <w:spacing w:line="360" w:lineRule="auto"/>
        <w:ind w:firstLine="480" w:firstLineChars="200"/>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rPr>
        <w:t>包一：</w:t>
      </w:r>
      <w:r>
        <w:rPr>
          <w:rFonts w:hint="eastAsia" w:ascii="Times New Roman" w:hAnsi="Times New Roman" w:eastAsia="宋体" w:cs="宋体"/>
          <w:color w:val="000000" w:themeColor="text1"/>
          <w:sz w:val="24"/>
          <w:szCs w:val="24"/>
          <w:lang w:val="en-US" w:eastAsia="zh-CN"/>
        </w:rPr>
        <w:t>抗菌医用敷料</w:t>
      </w:r>
    </w:p>
    <w:p>
      <w:pPr>
        <w:autoSpaceDE w:val="0"/>
        <w:autoSpaceDN w:val="0"/>
        <w:spacing w:line="360" w:lineRule="auto"/>
        <w:ind w:firstLine="480" w:firstLineChars="200"/>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rPr>
        <w:t>包二：</w:t>
      </w:r>
      <w:r>
        <w:rPr>
          <w:rFonts w:hint="eastAsia" w:ascii="Times New Roman" w:hAnsi="Times New Roman" w:eastAsia="宋体" w:cs="宋体"/>
          <w:color w:val="000000" w:themeColor="text1"/>
          <w:sz w:val="24"/>
          <w:szCs w:val="24"/>
          <w:lang w:val="en-US" w:eastAsia="zh-CN"/>
        </w:rPr>
        <w:t>连接管</w:t>
      </w:r>
    </w:p>
    <w:p>
      <w:pPr>
        <w:autoSpaceDE w:val="0"/>
        <w:autoSpaceDN w:val="0"/>
        <w:spacing w:line="360" w:lineRule="auto"/>
        <w:ind w:firstLine="480" w:firstLineChars="200"/>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rPr>
        <w:t>包三：</w:t>
      </w:r>
      <w:r>
        <w:rPr>
          <w:rFonts w:hint="eastAsia" w:ascii="Times New Roman" w:hAnsi="Times New Roman" w:eastAsia="宋体" w:cs="宋体"/>
          <w:color w:val="000000" w:themeColor="text1"/>
          <w:sz w:val="24"/>
          <w:szCs w:val="24"/>
          <w:lang w:val="en-US" w:eastAsia="zh-CN"/>
        </w:rPr>
        <w:t>可吸收医用膜</w:t>
      </w:r>
    </w:p>
    <w:p>
      <w:pPr>
        <w:autoSpaceDE w:val="0"/>
        <w:autoSpaceDN w:val="0"/>
        <w:spacing w:line="360" w:lineRule="auto"/>
        <w:ind w:firstLine="480" w:firstLineChars="200"/>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rPr>
        <w:t>包四：</w:t>
      </w:r>
      <w:r>
        <w:rPr>
          <w:rFonts w:hint="eastAsia" w:ascii="Times New Roman" w:hAnsi="Times New Roman" w:eastAsia="宋体" w:cs="宋体"/>
          <w:color w:val="000000" w:themeColor="text1"/>
          <w:sz w:val="24"/>
          <w:szCs w:val="24"/>
          <w:lang w:val="en-US" w:eastAsia="zh-CN"/>
        </w:rPr>
        <w:t>集尿袋</w:t>
      </w:r>
    </w:p>
    <w:p>
      <w:pPr>
        <w:autoSpaceDE w:val="0"/>
        <w:autoSpaceDN w:val="0"/>
        <w:spacing w:line="360" w:lineRule="auto"/>
        <w:ind w:firstLine="480" w:firstLineChars="200"/>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rPr>
        <w:t>包五：</w:t>
      </w:r>
      <w:r>
        <w:rPr>
          <w:rFonts w:hint="eastAsia" w:ascii="Times New Roman" w:hAnsi="Times New Roman" w:eastAsia="宋体" w:cs="宋体"/>
          <w:color w:val="000000" w:themeColor="text1"/>
          <w:sz w:val="24"/>
          <w:szCs w:val="24"/>
          <w:lang w:val="en-US" w:eastAsia="zh-CN"/>
        </w:rPr>
        <w:t>补片一批</w:t>
      </w:r>
    </w:p>
    <w:p>
      <w:pPr>
        <w:autoSpaceDE w:val="0"/>
        <w:autoSpaceDN w:val="0"/>
        <w:spacing w:line="360" w:lineRule="auto"/>
        <w:ind w:firstLine="480" w:firstLineChars="200"/>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包六：</w:t>
      </w:r>
      <w:r>
        <w:rPr>
          <w:rFonts w:hint="eastAsia" w:ascii="Times New Roman" w:hAnsi="Times New Roman" w:eastAsia="宋体" w:cs="宋体"/>
          <w:color w:val="000000" w:themeColor="text1"/>
          <w:sz w:val="24"/>
          <w:szCs w:val="24"/>
          <w:lang w:val="en-US" w:eastAsia="zh-CN"/>
        </w:rPr>
        <w:t>透析液过滤器</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2</w:t>
      </w:r>
      <w:r>
        <w:rPr>
          <w:rFonts w:hint="eastAsia" w:ascii="宋体" w:hAnsi="宋体" w:eastAsia="宋体" w:cs="宋体"/>
          <w:kern w:val="0"/>
          <w:sz w:val="24"/>
          <w:szCs w:val="24"/>
        </w:rPr>
        <w:t>）技术要求：见本竞争性谈判文件第三章“货物需求一览表及技术规格”</w:t>
      </w:r>
    </w:p>
    <w:p>
      <w:pPr>
        <w:spacing w:line="360" w:lineRule="auto"/>
        <w:ind w:left="425" w:hanging="424" w:hangingChars="177"/>
        <w:rPr>
          <w:rFonts w:ascii="宋体" w:hAnsi="宋体" w:eastAsia="宋体" w:cs="Times New Roman"/>
          <w:sz w:val="24"/>
          <w:szCs w:val="24"/>
        </w:rPr>
      </w:pPr>
      <w:bookmarkStart w:id="5" w:name="_Toc461613012"/>
      <w:bookmarkStart w:id="6" w:name="_Toc461613084"/>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3</w:t>
      </w:r>
      <w:r>
        <w:rPr>
          <w:rFonts w:hint="eastAsia" w:ascii="宋体" w:hAnsi="宋体" w:eastAsia="宋体" w:cs="Times New Roman"/>
          <w:sz w:val="24"/>
          <w:szCs w:val="24"/>
        </w:rPr>
        <w:t>年</w:t>
      </w:r>
      <w:r>
        <w:rPr>
          <w:rFonts w:hint="eastAsia" w:ascii="Times New Roman" w:hAnsi="Times New Roman" w:eastAsia="宋体" w:cs="Times New Roman"/>
          <w:sz w:val="24"/>
          <w:szCs w:val="24"/>
          <w:lang w:val="en-US" w:eastAsia="zh-CN"/>
        </w:rPr>
        <w:t>1</w:t>
      </w:r>
      <w:r>
        <w:rPr>
          <w:rFonts w:hint="eastAsia" w:ascii="宋体" w:hAnsi="宋体" w:eastAsia="宋体" w:cs="Times New Roman"/>
          <w:sz w:val="24"/>
          <w:szCs w:val="24"/>
        </w:rPr>
        <w:t>月</w:t>
      </w:r>
      <w:r>
        <w:rPr>
          <w:rFonts w:hint="eastAsia" w:ascii="Times New Roman" w:hAnsi="Times New Roman" w:eastAsia="宋体" w:cs="Times New Roman"/>
          <w:sz w:val="24"/>
          <w:szCs w:val="24"/>
          <w:lang w:val="en-US" w:eastAsia="zh-CN"/>
        </w:rPr>
        <w:t>29</w:t>
      </w:r>
      <w:r>
        <w:rPr>
          <w:rFonts w:hint="eastAsia" w:ascii="Times New Roman" w:hAnsi="Times New Roman" w:eastAsia="宋体" w:cs="Times New Roman"/>
          <w:sz w:val="24"/>
          <w:szCs w:val="24"/>
        </w:rPr>
        <w:t>日</w:t>
      </w:r>
      <w:r>
        <w:rPr>
          <w:rFonts w:hint="eastAsia" w:ascii="宋体" w:hAnsi="宋体" w:eastAsia="宋体" w:cs="Times New Roman"/>
          <w:sz w:val="24"/>
          <w:szCs w:val="24"/>
        </w:rPr>
        <w:t>起至</w:t>
      </w:r>
      <w:r>
        <w:rPr>
          <w:rFonts w:hint="eastAsia"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3</w:t>
      </w:r>
      <w:r>
        <w:rPr>
          <w:rFonts w:hint="eastAsia" w:ascii="宋体" w:hAnsi="宋体" w:eastAsia="宋体" w:cs="Times New Roman"/>
          <w:sz w:val="24"/>
          <w:szCs w:val="24"/>
        </w:rPr>
        <w:t>年</w:t>
      </w:r>
      <w:r>
        <w:rPr>
          <w:rFonts w:hint="eastAsia" w:ascii="Times New Roman" w:hAnsi="Times New Roman" w:eastAsia="宋体" w:cs="Times New Roman"/>
          <w:sz w:val="24"/>
          <w:szCs w:val="24"/>
          <w:lang w:val="en-US" w:eastAsia="zh-CN"/>
        </w:rPr>
        <w:t>2</w:t>
      </w:r>
      <w:r>
        <w:rPr>
          <w:rFonts w:hint="eastAsia" w:ascii="宋体" w:hAnsi="宋体" w:eastAsia="宋体" w:cs="Times New Roman"/>
          <w:sz w:val="24"/>
          <w:szCs w:val="24"/>
        </w:rPr>
        <w:t>月</w:t>
      </w:r>
      <w:r>
        <w:rPr>
          <w:rFonts w:hint="eastAsia" w:ascii="Times New Roman" w:hAnsi="Times New Roman" w:eastAsia="宋体" w:cs="Times New Roman"/>
          <w:sz w:val="24"/>
          <w:szCs w:val="24"/>
          <w:lang w:val="en-US" w:eastAsia="zh-CN"/>
        </w:rPr>
        <w:t>1</w:t>
      </w:r>
      <w:r>
        <w:rPr>
          <w:rFonts w:hint="eastAsia" w:ascii="宋体" w:hAnsi="宋体" w:eastAsia="宋体" w:cs="Times New Roman"/>
          <w:sz w:val="24"/>
          <w:szCs w:val="24"/>
        </w:rPr>
        <w:t>日止（星期六、日和节假日除外）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36"/>
          <w:rFonts w:ascii="Times New Roman" w:hAnsi="Times New Roman" w:eastAsia="宋体"/>
          <w:sz w:val="24"/>
          <w:szCs w:val="24"/>
        </w:rPr>
        <w:t>https</w:t>
      </w:r>
      <w:r>
        <w:rPr>
          <w:rStyle w:val="36"/>
          <w:rFonts w:ascii="宋体" w:hAnsi="宋体" w:eastAsia="宋体"/>
          <w:sz w:val="24"/>
          <w:szCs w:val="24"/>
        </w:rPr>
        <w:t>://</w:t>
      </w:r>
      <w:r>
        <w:rPr>
          <w:rStyle w:val="36"/>
          <w:rFonts w:ascii="Times New Roman" w:hAnsi="Times New Roman" w:eastAsia="宋体"/>
          <w:sz w:val="24"/>
          <w:szCs w:val="24"/>
        </w:rPr>
        <w:t>www</w:t>
      </w:r>
      <w:r>
        <w:rPr>
          <w:rStyle w:val="36"/>
          <w:rFonts w:ascii="宋体" w:hAnsi="宋体" w:eastAsia="宋体"/>
          <w:sz w:val="24"/>
          <w:szCs w:val="24"/>
        </w:rPr>
        <w:t>.</w:t>
      </w:r>
      <w:r>
        <w:rPr>
          <w:rStyle w:val="36"/>
          <w:rFonts w:ascii="Times New Roman" w:hAnsi="Times New Roman" w:eastAsia="宋体"/>
          <w:sz w:val="24"/>
          <w:szCs w:val="24"/>
        </w:rPr>
        <w:t>szy</w:t>
      </w:r>
      <w:r>
        <w:rPr>
          <w:rStyle w:val="36"/>
          <w:rFonts w:ascii="宋体" w:hAnsi="宋体" w:eastAsia="宋体"/>
          <w:sz w:val="24"/>
          <w:szCs w:val="24"/>
        </w:rPr>
        <w:t>.</w:t>
      </w:r>
      <w:r>
        <w:rPr>
          <w:rStyle w:val="36"/>
          <w:rFonts w:ascii="Times New Roman" w:hAnsi="Times New Roman" w:eastAsia="宋体"/>
          <w:sz w:val="24"/>
          <w:szCs w:val="24"/>
        </w:rPr>
        <w:t>sh</w:t>
      </w:r>
      <w:r>
        <w:rPr>
          <w:rStyle w:val="36"/>
          <w:rFonts w:ascii="宋体" w:hAnsi="宋体" w:eastAsia="宋体"/>
          <w:sz w:val="24"/>
          <w:szCs w:val="24"/>
        </w:rPr>
        <w:t>.</w:t>
      </w:r>
      <w:r>
        <w:rPr>
          <w:rStyle w:val="36"/>
          <w:rFonts w:ascii="Times New Roman" w:hAnsi="Times New Roman" w:eastAsia="宋体"/>
          <w:sz w:val="24"/>
          <w:szCs w:val="24"/>
        </w:rPr>
        <w:t>cn</w:t>
      </w:r>
      <w:r>
        <w:rPr>
          <w:rStyle w:val="36"/>
          <w:rFonts w:ascii="宋体" w:hAnsi="宋体" w:eastAsia="宋体"/>
          <w:sz w:val="24"/>
          <w:szCs w:val="24"/>
        </w:rPr>
        <w:t>/</w:t>
      </w:r>
      <w:r>
        <w:rPr>
          <w:rStyle w:val="36"/>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、报名截止时间：</w:t>
      </w:r>
      <w:r>
        <w:rPr>
          <w:rFonts w:hint="eastAsia" w:ascii="Times New Roman" w:hAnsi="Times New Roman" w:eastAsia="宋体" w:cs="宋体"/>
          <w:color w:val="000000" w:themeColor="text1"/>
          <w:kern w:val="0"/>
          <w:sz w:val="24"/>
          <w:szCs w:val="24"/>
        </w:rPr>
        <w:t>202</w:t>
      </w:r>
      <w:r>
        <w:rPr>
          <w:rFonts w:hint="eastAsia" w:ascii="Times New Roman" w:hAnsi="Times New Roman" w:eastAsia="宋体" w:cs="宋体"/>
          <w:color w:val="000000" w:themeColor="text1"/>
          <w:kern w:val="0"/>
          <w:sz w:val="24"/>
          <w:szCs w:val="24"/>
          <w:lang w:val="en-US" w:eastAsia="zh-CN"/>
        </w:rPr>
        <w:t>3</w:t>
      </w:r>
      <w:r>
        <w:rPr>
          <w:rFonts w:hint="eastAsia" w:ascii="Times New Roman" w:hAnsi="Times New Roman" w:eastAsia="宋体" w:cs="宋体"/>
          <w:color w:val="000000" w:themeColor="text1"/>
          <w:kern w:val="0"/>
          <w:sz w:val="24"/>
          <w:szCs w:val="24"/>
        </w:rPr>
        <w:t>年</w:t>
      </w:r>
      <w:r>
        <w:rPr>
          <w:rFonts w:hint="eastAsia" w:ascii="Times New Roman" w:hAnsi="Times New Roman" w:eastAsia="宋体" w:cs="宋体"/>
          <w:color w:val="000000" w:themeColor="text1"/>
          <w:kern w:val="0"/>
          <w:sz w:val="24"/>
          <w:szCs w:val="24"/>
          <w:lang w:val="en-US" w:eastAsia="zh-CN"/>
        </w:rPr>
        <w:t>2</w:t>
      </w:r>
      <w:r>
        <w:rPr>
          <w:rFonts w:hint="eastAsia" w:ascii="Times New Roman" w:hAnsi="Times New Roman" w:eastAsia="宋体" w:cs="宋体"/>
          <w:color w:val="000000" w:themeColor="text1"/>
          <w:kern w:val="0"/>
          <w:sz w:val="24"/>
          <w:szCs w:val="24"/>
        </w:rPr>
        <w:t>月</w:t>
      </w:r>
      <w:r>
        <w:rPr>
          <w:rFonts w:hint="eastAsia" w:ascii="Times New Roman" w:hAnsi="Times New Roman" w:eastAsia="宋体" w:cs="宋体"/>
          <w:color w:val="000000" w:themeColor="text1"/>
          <w:kern w:val="0"/>
          <w:sz w:val="24"/>
          <w:szCs w:val="24"/>
          <w:lang w:val="en-US" w:eastAsia="zh-CN"/>
        </w:rPr>
        <w:t>1</w:t>
      </w:r>
      <w:r>
        <w:rPr>
          <w:rFonts w:hint="eastAsia" w:ascii="Times New Roman" w:hAnsi="Times New Roman" w:eastAsia="宋体" w:cs="宋体"/>
          <w:color w:val="000000" w:themeColor="text1"/>
          <w:kern w:val="0"/>
          <w:sz w:val="24"/>
          <w:szCs w:val="24"/>
        </w:rPr>
        <w:t>日北京时间</w:t>
      </w:r>
      <w:r>
        <w:rPr>
          <w:rFonts w:ascii="Times New Roman" w:hAnsi="Times New Roman" w:eastAsia="宋体" w:cs="宋体"/>
          <w:color w:val="000000" w:themeColor="text1"/>
          <w:kern w:val="0"/>
          <w:sz w:val="24"/>
          <w:szCs w:val="24"/>
        </w:rPr>
        <w:t>17</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rPr>
        <w:t>00</w:t>
      </w:r>
    </w:p>
    <w:p>
      <w:pPr>
        <w:spacing w:line="360" w:lineRule="auto"/>
        <w:ind w:left="425" w:hanging="424" w:hangingChars="177"/>
        <w:rPr>
          <w:rFonts w:ascii="宋体" w:hAnsi="宋体" w:eastAsia="宋体" w:cs="Times New Roman"/>
          <w:sz w:val="24"/>
          <w:szCs w:val="24"/>
          <w:highlight w:val="yellow"/>
        </w:rPr>
      </w:pPr>
      <w:r>
        <w:rPr>
          <w:rFonts w:hint="eastAsia" w:ascii="Times New Roman" w:hAnsi="Times New Roman" w:eastAsia="宋体" w:cs="宋体"/>
          <w:color w:val="000000" w:themeColor="text1"/>
          <w:kern w:val="0"/>
          <w:sz w:val="24"/>
          <w:szCs w:val="24"/>
        </w:rPr>
        <w:t>4、</w:t>
      </w:r>
      <w:r>
        <w:rPr>
          <w:rFonts w:hint="eastAsia" w:ascii="宋体" w:hAnsi="宋体" w:eastAsia="宋体" w:cs="Times New Roman"/>
          <w:sz w:val="24"/>
          <w:szCs w:val="24"/>
        </w:rPr>
        <w:t>递交响应文件截止时间、地点及要求：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Times New Roman" w:hAnsi="Times New Roman" w:eastAsia="宋体" w:cs="Times New Roman"/>
          <w:sz w:val="24"/>
          <w:szCs w:val="24"/>
        </w:rPr>
        <w:t>202</w:t>
      </w:r>
      <w:r>
        <w:rPr>
          <w:rFonts w:hint="eastAsia" w:ascii="Times New Roman" w:hAnsi="Times New Roman" w:eastAsia="宋体" w:cs="Times New Roman"/>
          <w:sz w:val="24"/>
          <w:szCs w:val="24"/>
          <w:lang w:val="en-US" w:eastAsia="zh-CN"/>
        </w:rPr>
        <w:t>3</w:t>
      </w:r>
      <w:r>
        <w:rPr>
          <w:rFonts w:hint="eastAsia" w:ascii="宋体" w:hAnsi="宋体" w:eastAsia="宋体" w:cs="Times New Roman"/>
          <w:sz w:val="24"/>
          <w:szCs w:val="24"/>
        </w:rPr>
        <w:t>年</w:t>
      </w:r>
      <w:r>
        <w:rPr>
          <w:rFonts w:hint="eastAsia" w:ascii="Times New Roman" w:hAnsi="Times New Roman" w:eastAsia="宋体" w:cs="Times New Roman"/>
          <w:sz w:val="24"/>
          <w:szCs w:val="24"/>
          <w:lang w:val="en-US" w:eastAsia="zh-CN"/>
        </w:rPr>
        <w:t>2</w:t>
      </w:r>
      <w:r>
        <w:rPr>
          <w:rFonts w:hint="eastAsia" w:ascii="宋体" w:hAnsi="宋体" w:eastAsia="宋体" w:cs="Times New Roman"/>
          <w:sz w:val="24"/>
          <w:szCs w:val="24"/>
        </w:rPr>
        <w:t>月</w:t>
      </w:r>
      <w:r>
        <w:rPr>
          <w:rFonts w:hint="eastAsia" w:ascii="Times New Roman" w:hAnsi="Times New Roman" w:eastAsia="宋体" w:cs="Times New Roman"/>
          <w:sz w:val="24"/>
          <w:szCs w:val="24"/>
          <w:lang w:val="en-US" w:eastAsia="zh-CN"/>
        </w:rPr>
        <w:t>2</w:t>
      </w:r>
      <w:r>
        <w:rPr>
          <w:rFonts w:hint="eastAsia" w:ascii="宋体" w:hAnsi="宋体" w:eastAsia="宋体" w:cs="Times New Roman"/>
          <w:sz w:val="24"/>
          <w:szCs w:val="24"/>
        </w:rPr>
        <w:t>日北京时间</w:t>
      </w:r>
      <w:r>
        <w:rPr>
          <w:rFonts w:hint="eastAsia" w:ascii="Times New Roman" w:hAnsi="Times New Roman" w:eastAsia="宋体" w:cs="Times New Roman"/>
          <w:sz w:val="24"/>
          <w:szCs w:val="24"/>
        </w:rPr>
        <w:t>9</w:t>
      </w:r>
      <w:r>
        <w:rPr>
          <w:rFonts w:ascii="宋体" w:hAnsi="宋体" w:eastAsia="宋体" w:cs="Times New Roman"/>
          <w:sz w:val="24"/>
          <w:szCs w:val="24"/>
        </w:rPr>
        <w:t>:</w:t>
      </w:r>
      <w:r>
        <w:rPr>
          <w:rFonts w:hint="eastAsia" w:ascii="Times New Roman" w:hAnsi="Times New Roman" w:eastAsia="宋体" w:cs="Times New Roman"/>
          <w:sz w:val="24"/>
          <w:szCs w:val="24"/>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p>
      <w:pPr>
        <w:spacing w:line="360" w:lineRule="auto"/>
        <w:ind w:left="425" w:hanging="424" w:hangingChars="177"/>
        <w:rPr>
          <w:rFonts w:ascii="宋体" w:hAnsi="宋体" w:eastAsia="宋体" w:cs="宋体"/>
          <w:kern w:val="0"/>
          <w:sz w:val="24"/>
          <w:szCs w:val="24"/>
        </w:rPr>
      </w:pPr>
      <w:r>
        <w:rPr>
          <w:rFonts w:hint="eastAsia" w:ascii="Times New Roman" w:hAnsi="Times New Roman" w:eastAsia="宋体" w:cs="Times New Roman"/>
          <w:sz w:val="24"/>
          <w:szCs w:val="24"/>
        </w:rPr>
        <w:t>5</w:t>
      </w:r>
      <w:r>
        <w:rPr>
          <w:rFonts w:hint="eastAsia" w:ascii="宋体" w:hAnsi="宋体" w:eastAsia="宋体" w:cs="Times New Roman"/>
          <w:sz w:val="24"/>
          <w:szCs w:val="24"/>
        </w:rPr>
        <w:t>、</w:t>
      </w:r>
      <w:bookmarkEnd w:id="5"/>
      <w:bookmarkEnd w:id="6"/>
      <w:bookmarkStart w:id="7" w:name="OLE_LINK11"/>
      <w:bookmarkStart w:id="8" w:name="OLE_LINK16"/>
      <w:r>
        <w:rPr>
          <w:rFonts w:hint="eastAsia" w:ascii="宋体" w:hAnsi="宋体" w:eastAsia="宋体" w:cs="宋体"/>
          <w:kern w:val="0"/>
          <w:sz w:val="24"/>
          <w:szCs w:val="24"/>
        </w:rPr>
        <w:t>采购人信息</w:t>
      </w:r>
    </w:p>
    <w:bookmarkEnd w:id="7"/>
    <w:bookmarkEnd w:id="8"/>
    <w:p>
      <w:pPr>
        <w:spacing w:line="360" w:lineRule="auto"/>
        <w:ind w:firstLine="240" w:firstLineChars="100"/>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ind w:firstLine="240" w:firstLineChars="100"/>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w:t>
      </w:r>
      <w:r>
        <w:rPr>
          <w:rFonts w:hint="eastAsia" w:ascii="Times New Roman" w:hAnsi="Times New Roman" w:eastAsia="宋体" w:cs="Times New Roman"/>
          <w:sz w:val="24"/>
          <w:szCs w:val="20"/>
        </w:rPr>
        <w:t>274</w:t>
      </w:r>
      <w:r>
        <w:rPr>
          <w:rFonts w:hint="eastAsia" w:ascii="宋体" w:hAnsi="宋体" w:eastAsia="宋体" w:cs="Times New Roman"/>
          <w:sz w:val="24"/>
          <w:szCs w:val="20"/>
        </w:rPr>
        <w:t>号</w:t>
      </w:r>
    </w:p>
    <w:p>
      <w:pPr>
        <w:spacing w:line="360" w:lineRule="auto"/>
        <w:ind w:firstLine="240" w:firstLineChars="100"/>
        <w:jc w:val="left"/>
        <w:rPr>
          <w:rFonts w:ascii="宋体" w:hAnsi="宋体" w:eastAsia="宋体" w:cs="Times New Roman"/>
          <w:sz w:val="24"/>
          <w:szCs w:val="20"/>
        </w:rPr>
      </w:pPr>
      <w:r>
        <w:rPr>
          <w:rFonts w:hint="eastAsia" w:ascii="宋体" w:hAnsi="宋体" w:eastAsia="宋体" w:cs="Times New Roman"/>
          <w:sz w:val="24"/>
          <w:szCs w:val="20"/>
        </w:rPr>
        <w:t>邮编：</w:t>
      </w:r>
      <w:r>
        <w:rPr>
          <w:rFonts w:ascii="Times New Roman" w:hAnsi="Times New Roman" w:eastAsia="宋体" w:cs="Times New Roman"/>
          <w:sz w:val="24"/>
          <w:szCs w:val="20"/>
        </w:rPr>
        <w:t>200032</w:t>
      </w:r>
    </w:p>
    <w:p>
      <w:pPr>
        <w:spacing w:line="360" w:lineRule="auto"/>
        <w:ind w:firstLine="240" w:firstLineChars="100"/>
        <w:jc w:val="left"/>
        <w:rPr>
          <w:rFonts w:ascii="宋体" w:hAnsi="宋体" w:eastAsia="宋体" w:cs="Times New Roman"/>
          <w:sz w:val="24"/>
          <w:szCs w:val="20"/>
        </w:rPr>
      </w:pPr>
      <w:r>
        <w:rPr>
          <w:rFonts w:hint="eastAsia" w:ascii="宋体" w:hAnsi="宋体" w:eastAsia="宋体" w:cs="Times New Roman"/>
          <w:sz w:val="24"/>
          <w:szCs w:val="20"/>
        </w:rPr>
        <w:t>电话：</w:t>
      </w:r>
      <w:r>
        <w:rPr>
          <w:rFonts w:hint="eastAsia" w:ascii="Times New Roman" w:hAnsi="Times New Roman" w:eastAsia="宋体" w:cs="Times New Roman"/>
          <w:sz w:val="24"/>
          <w:szCs w:val="20"/>
        </w:rPr>
        <w:t>021</w:t>
      </w:r>
      <w:r>
        <w:rPr>
          <w:rFonts w:hint="eastAsia" w:ascii="宋体" w:hAnsi="宋体" w:eastAsia="宋体" w:cs="Times New Roman"/>
          <w:sz w:val="24"/>
          <w:szCs w:val="20"/>
        </w:rPr>
        <w:t>-</w:t>
      </w:r>
      <w:r>
        <w:rPr>
          <w:rFonts w:ascii="Times New Roman" w:hAnsi="Times New Roman" w:eastAsia="宋体" w:cs="Times New Roman"/>
          <w:sz w:val="24"/>
          <w:szCs w:val="20"/>
        </w:rPr>
        <w:t>56639828</w:t>
      </w:r>
      <w:r>
        <w:rPr>
          <w:rFonts w:ascii="宋体" w:hAnsi="宋体" w:eastAsia="宋体" w:cs="Times New Roman"/>
          <w:sz w:val="24"/>
          <w:szCs w:val="20"/>
        </w:rPr>
        <w:t>-</w:t>
      </w:r>
      <w:r>
        <w:rPr>
          <w:rFonts w:hint="eastAsia" w:ascii="Times New Roman" w:hAnsi="Times New Roman" w:eastAsia="宋体" w:cs="Times New Roman"/>
          <w:sz w:val="24"/>
          <w:szCs w:val="20"/>
        </w:rPr>
        <w:t>2237</w:t>
      </w:r>
    </w:p>
    <w:p>
      <w:pPr>
        <w:autoSpaceDE w:val="0"/>
        <w:autoSpaceDN w:val="0"/>
        <w:spacing w:line="360" w:lineRule="auto"/>
        <w:ind w:firstLine="240" w:firstLineChars="100"/>
        <w:jc w:val="left"/>
        <w:rPr>
          <w:rFonts w:ascii="宋体" w:hAnsi="宋体" w:eastAsia="宋体" w:cs="Times New Roman"/>
          <w:sz w:val="24"/>
          <w:szCs w:val="20"/>
        </w:rPr>
      </w:pPr>
      <w:r>
        <w:rPr>
          <w:rFonts w:hint="eastAsia" w:ascii="宋体" w:hAnsi="宋体" w:eastAsia="宋体" w:cs="Times New Roman"/>
          <w:sz w:val="24"/>
          <w:szCs w:val="20"/>
        </w:rPr>
        <w:t>传真：</w:t>
      </w:r>
      <w:r>
        <w:rPr>
          <w:rFonts w:hint="eastAsia" w:ascii="Times New Roman" w:hAnsi="Times New Roman" w:eastAsia="宋体" w:cs="Times New Roman"/>
          <w:sz w:val="24"/>
          <w:szCs w:val="20"/>
        </w:rPr>
        <w:t>021</w:t>
      </w:r>
      <w:r>
        <w:rPr>
          <w:rFonts w:hint="eastAsia" w:ascii="宋体" w:hAnsi="宋体" w:eastAsia="宋体" w:cs="Times New Roman"/>
          <w:sz w:val="24"/>
          <w:szCs w:val="20"/>
        </w:rPr>
        <w:t>-</w:t>
      </w:r>
      <w:r>
        <w:rPr>
          <w:rFonts w:ascii="Times New Roman" w:hAnsi="Times New Roman" w:eastAsia="宋体" w:cs="Times New Roman"/>
          <w:sz w:val="24"/>
          <w:szCs w:val="20"/>
        </w:rPr>
        <w:t>5663</w:t>
      </w:r>
      <w:r>
        <w:rPr>
          <w:rFonts w:hint="eastAsia" w:ascii="Times New Roman" w:hAnsi="Times New Roman" w:eastAsia="宋体" w:cs="Times New Roman"/>
          <w:sz w:val="24"/>
          <w:szCs w:val="20"/>
        </w:rPr>
        <w:t>9310</w:t>
      </w:r>
    </w:p>
    <w:p>
      <w:pPr>
        <w:autoSpaceDE w:val="0"/>
        <w:autoSpaceDN w:val="0"/>
        <w:spacing w:line="360" w:lineRule="auto"/>
        <w:ind w:firstLine="240" w:firstLineChars="100"/>
        <w:jc w:val="left"/>
        <w:rPr>
          <w:rFonts w:ascii="宋体" w:hAnsi="宋体" w:eastAsia="宋体" w:cs="Times New Roman"/>
          <w:sz w:val="24"/>
          <w:szCs w:val="20"/>
        </w:rPr>
      </w:pPr>
      <w:r>
        <w:rPr>
          <w:rFonts w:hint="eastAsia" w:ascii="宋体" w:hAnsi="宋体" w:eastAsia="宋体" w:cs="Times New Roman"/>
          <w:sz w:val="24"/>
          <w:szCs w:val="20"/>
        </w:rPr>
        <w:t>联系人：陆丹</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9" w:name="_Toc11326093"/>
      <w:bookmarkStart w:id="10" w:name="_Toc516880880"/>
      <w:bookmarkStart w:id="11"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竞争性谈判资料表</w:t>
      </w:r>
      <w:bookmarkEnd w:id="9"/>
      <w:bookmarkEnd w:id="10"/>
      <w:bookmarkEnd w:id="11"/>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下表有关货物采购的资料是对“供应商须知”的具体补充和修改，如有矛盾应以本竞争性谈判文件资料表为准。</w:t>
      </w:r>
    </w:p>
    <w:tbl>
      <w:tblPr>
        <w:tblStyle w:val="31"/>
        <w:tblW w:w="50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6"/>
        <w:gridCol w:w="8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9"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w:t>
            </w:r>
            <w:r>
              <w:rPr>
                <w:rFonts w:ascii="宋体" w:hAnsi="宋体" w:eastAsia="宋体" w:cs="Times New Roman"/>
                <w:sz w:val="24"/>
                <w:szCs w:val="20"/>
              </w:rPr>
              <w:t>.</w:t>
            </w:r>
            <w:r>
              <w:rPr>
                <w:rFonts w:ascii="Times New Roman" w:hAnsi="Times New Roman" w:eastAsia="宋体" w:cs="Times New Roman"/>
                <w:sz w:val="24"/>
                <w:szCs w:val="20"/>
              </w:rPr>
              <w:t>1</w:t>
            </w:r>
          </w:p>
        </w:tc>
        <w:tc>
          <w:tcPr>
            <w:tcW w:w="4469"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采购人名称：上海市中医医院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ascii="Times New Roman" w:hAnsi="Times New Roman" w:eastAsia="宋体" w:cs="Times New Roman"/>
                <w:sz w:val="24"/>
                <w:szCs w:val="20"/>
              </w:rPr>
              <w:t>2</w:t>
            </w:r>
          </w:p>
        </w:tc>
        <w:tc>
          <w:tcPr>
            <w:tcW w:w="4469" w:type="pct"/>
            <w:vAlign w:val="center"/>
          </w:tcPr>
          <w:p>
            <w:pPr>
              <w:autoSpaceDE w:val="0"/>
              <w:autoSpaceDN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项目名称：</w:t>
            </w:r>
          </w:p>
          <w:p>
            <w:pPr>
              <w:autoSpaceDE w:val="0"/>
              <w:autoSpaceDN w:val="0"/>
              <w:spacing w:line="360" w:lineRule="auto"/>
              <w:ind w:firstLine="480" w:firstLineChars="200"/>
              <w:rPr>
                <w:rFonts w:hint="eastAsia"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rPr>
              <w:t>包一：</w:t>
            </w:r>
            <w:r>
              <w:rPr>
                <w:rFonts w:hint="eastAsia" w:ascii="Times New Roman" w:hAnsi="Times New Roman" w:eastAsia="宋体" w:cs="宋体"/>
                <w:color w:val="000000" w:themeColor="text1"/>
                <w:sz w:val="24"/>
                <w:szCs w:val="24"/>
                <w:lang w:val="en-US" w:eastAsia="zh-CN"/>
              </w:rPr>
              <w:t>抗菌医用敷料</w:t>
            </w:r>
          </w:p>
          <w:p>
            <w:pPr>
              <w:autoSpaceDE w:val="0"/>
              <w:autoSpaceDN w:val="0"/>
              <w:spacing w:line="360" w:lineRule="auto"/>
              <w:ind w:firstLine="480" w:firstLineChars="200"/>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包二：</w:t>
            </w:r>
            <w:r>
              <w:rPr>
                <w:rFonts w:hint="eastAsia" w:ascii="Times New Roman" w:hAnsi="Times New Roman" w:eastAsia="宋体" w:cs="宋体"/>
                <w:color w:val="000000" w:themeColor="text1"/>
                <w:sz w:val="24"/>
                <w:szCs w:val="24"/>
                <w:lang w:val="en-US" w:eastAsia="zh-CN"/>
              </w:rPr>
              <w:t>连接管</w:t>
            </w:r>
          </w:p>
          <w:p>
            <w:pPr>
              <w:autoSpaceDE w:val="0"/>
              <w:autoSpaceDN w:val="0"/>
              <w:spacing w:line="360" w:lineRule="auto"/>
              <w:ind w:firstLine="480" w:firstLineChars="200"/>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rPr>
              <w:t>包三：</w:t>
            </w:r>
            <w:r>
              <w:rPr>
                <w:rFonts w:hint="eastAsia" w:ascii="Times New Roman" w:hAnsi="Times New Roman" w:eastAsia="宋体" w:cs="宋体"/>
                <w:color w:val="000000" w:themeColor="text1"/>
                <w:sz w:val="24"/>
                <w:szCs w:val="24"/>
                <w:lang w:val="en-US" w:eastAsia="zh-CN"/>
              </w:rPr>
              <w:t>可吸收医用膜</w:t>
            </w:r>
          </w:p>
          <w:p>
            <w:pPr>
              <w:autoSpaceDE w:val="0"/>
              <w:autoSpaceDN w:val="0"/>
              <w:spacing w:line="360" w:lineRule="auto"/>
              <w:ind w:firstLine="480" w:firstLineChars="200"/>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themeColor="text1"/>
                <w:sz w:val="24"/>
                <w:szCs w:val="24"/>
              </w:rPr>
              <w:t>包四：</w:t>
            </w:r>
            <w:r>
              <w:rPr>
                <w:rFonts w:hint="eastAsia" w:ascii="Times New Roman" w:hAnsi="Times New Roman" w:eastAsia="宋体" w:cs="宋体"/>
                <w:color w:val="000000" w:themeColor="text1"/>
                <w:sz w:val="24"/>
                <w:szCs w:val="24"/>
                <w:lang w:val="en-US" w:eastAsia="zh-CN"/>
              </w:rPr>
              <w:t>集尿袋</w:t>
            </w:r>
          </w:p>
          <w:p>
            <w:pPr>
              <w:autoSpaceDE w:val="0"/>
              <w:autoSpaceDN w:val="0"/>
              <w:spacing w:line="360" w:lineRule="auto"/>
              <w:ind w:firstLine="480" w:firstLineChars="200"/>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rPr>
              <w:t>包五：</w:t>
            </w:r>
            <w:r>
              <w:rPr>
                <w:rFonts w:hint="eastAsia" w:ascii="Times New Roman" w:hAnsi="Times New Roman" w:eastAsia="宋体" w:cs="宋体"/>
                <w:color w:val="000000" w:themeColor="text1"/>
                <w:sz w:val="24"/>
                <w:szCs w:val="24"/>
                <w:lang w:val="en-US" w:eastAsia="zh-CN"/>
              </w:rPr>
              <w:t>补片一批</w:t>
            </w:r>
          </w:p>
          <w:p>
            <w:pPr>
              <w:autoSpaceDE w:val="0"/>
              <w:autoSpaceDN w:val="0"/>
              <w:spacing w:line="360" w:lineRule="auto"/>
              <w:ind w:firstLine="480" w:firstLineChars="200"/>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rPr>
              <w:t>包六：</w:t>
            </w:r>
            <w:r>
              <w:rPr>
                <w:rFonts w:hint="eastAsia" w:ascii="Times New Roman" w:hAnsi="Times New Roman" w:eastAsia="宋体" w:cs="宋体"/>
                <w:color w:val="000000" w:themeColor="text1"/>
                <w:sz w:val="24"/>
                <w:szCs w:val="24"/>
                <w:lang w:val="en-US" w:eastAsia="zh-CN"/>
              </w:rPr>
              <w:t>透析液过滤器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Times New Roman" w:hAnsi="Times New Roman" w:eastAsia="宋体" w:cs="Times New Roman"/>
                <w:sz w:val="24"/>
                <w:szCs w:val="20"/>
              </w:rPr>
              <w:t>3</w:t>
            </w:r>
          </w:p>
        </w:tc>
        <w:tc>
          <w:tcPr>
            <w:tcW w:w="4469" w:type="pct"/>
            <w:vAlign w:val="center"/>
          </w:tcPr>
          <w:p>
            <w:pPr>
              <w:autoSpaceDE w:val="0"/>
              <w:autoSpaceDN w:val="0"/>
              <w:spacing w:line="360" w:lineRule="auto"/>
              <w:ind w:firstLine="480" w:firstLineChars="200"/>
              <w:rPr>
                <w:rFonts w:ascii="Times New Roman" w:hAnsi="Times New Roman" w:eastAsia="宋体" w:cs="宋体"/>
                <w:color w:val="000000" w:themeColor="text1"/>
                <w:sz w:val="24"/>
                <w:szCs w:val="24"/>
              </w:rPr>
            </w:pPr>
            <w:r>
              <w:rPr>
                <w:rFonts w:hint="eastAsia" w:ascii="宋体" w:hAnsi="宋体" w:eastAsia="宋体" w:cs="Times New Roman"/>
                <w:sz w:val="24"/>
                <w:szCs w:val="20"/>
              </w:rPr>
              <w:t>合同名称：</w:t>
            </w:r>
            <w:r>
              <w:rPr>
                <w:rFonts w:hint="eastAsia" w:ascii="Times New Roman" w:hAnsi="Times New Roman" w:eastAsia="宋体" w:cs="宋体"/>
                <w:color w:val="000000" w:themeColor="text1"/>
                <w:sz w:val="24"/>
                <w:szCs w:val="24"/>
              </w:rPr>
              <w:t>医疗耗材采购协议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ascii="Times New Roman" w:hAnsi="Times New Roman" w:eastAsia="宋体" w:cs="Times New Roman"/>
                <w:sz w:val="24"/>
                <w:szCs w:val="20"/>
              </w:rPr>
              <w:t>4</w:t>
            </w:r>
          </w:p>
        </w:tc>
        <w:tc>
          <w:tcPr>
            <w:tcW w:w="4469"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2</w:t>
            </w:r>
            <w:r>
              <w:rPr>
                <w:rFonts w:ascii="宋体" w:hAnsi="宋体" w:eastAsia="宋体" w:cs="Times New Roman"/>
                <w:sz w:val="24"/>
                <w:szCs w:val="20"/>
              </w:rPr>
              <w:t>.</w:t>
            </w:r>
            <w:r>
              <w:rPr>
                <w:rFonts w:hint="eastAsia" w:ascii="Times New Roman" w:hAnsi="Times New Roman" w:eastAsia="宋体" w:cs="Times New Roman"/>
                <w:sz w:val="24"/>
                <w:szCs w:val="20"/>
              </w:rPr>
              <w:t>1</w:t>
            </w:r>
          </w:p>
        </w:tc>
        <w:tc>
          <w:tcPr>
            <w:tcW w:w="4469"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供应商未在规定的时间内报名，不得参加。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2</w:t>
            </w:r>
            <w:r>
              <w:rPr>
                <w:rFonts w:ascii="宋体" w:hAnsi="宋体" w:eastAsia="宋体" w:cs="Times New Roman"/>
                <w:sz w:val="24"/>
                <w:szCs w:val="20"/>
              </w:rPr>
              <w:t>.</w:t>
            </w:r>
            <w:r>
              <w:rPr>
                <w:rFonts w:hint="eastAsia" w:ascii="Times New Roman" w:hAnsi="Times New Roman" w:eastAsia="宋体" w:cs="Times New Roman"/>
                <w:sz w:val="24"/>
                <w:szCs w:val="20"/>
              </w:rPr>
              <w:t>2</w:t>
            </w:r>
          </w:p>
        </w:tc>
        <w:tc>
          <w:tcPr>
            <w:tcW w:w="4469"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潜在供应商或者其他利害关系人对采购文件有异议的，应当在竞争性谈判响应文件递交截止时间</w:t>
            </w:r>
            <w:r>
              <w:rPr>
                <w:rFonts w:hint="eastAsia" w:ascii="Times New Roman" w:hAnsi="Times New Roman" w:eastAsia="宋体"/>
                <w:sz w:val="24"/>
                <w:szCs w:val="24"/>
              </w:rPr>
              <w:t>2</w:t>
            </w:r>
            <w:r>
              <w:rPr>
                <w:rFonts w:hint="eastAsia" w:ascii="宋体" w:hAnsi="宋体" w:eastAsia="宋体"/>
                <w:sz w:val="24"/>
                <w:szCs w:val="24"/>
              </w:rPr>
              <w:t>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竞争性谈判响应文件的编制和递交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3</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4469"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文件语言：中文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Times New Roman" w:hAnsi="Times New Roman" w:eastAsia="宋体" w:cs="Times New Roman"/>
                <w:sz w:val="24"/>
                <w:szCs w:val="20"/>
              </w:rPr>
              <w:t>4</w:t>
            </w:r>
            <w:r>
              <w:rPr>
                <w:rFonts w:ascii="宋体" w:hAnsi="宋体" w:eastAsia="宋体" w:cs="Times New Roman"/>
                <w:sz w:val="24"/>
                <w:szCs w:val="20"/>
              </w:rPr>
              <w:t>.</w:t>
            </w:r>
            <w:r>
              <w:rPr>
                <w:rFonts w:ascii="Times New Roman" w:hAnsi="Times New Roman" w:eastAsia="宋体" w:cs="Times New Roman"/>
                <w:sz w:val="24"/>
                <w:szCs w:val="20"/>
              </w:rPr>
              <w:t>1</w:t>
            </w:r>
          </w:p>
        </w:tc>
        <w:tc>
          <w:tcPr>
            <w:tcW w:w="4469"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供应商应提供下列文件，并按顺序装订成册，编制文件目录：</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1</w:t>
            </w:r>
            <w:r>
              <w:rPr>
                <w:rFonts w:hint="eastAsia" w:ascii="宋体" w:hAnsi="宋体" w:eastAsia="宋体" w:cs="Times New Roman"/>
                <w:sz w:val="24"/>
                <w:szCs w:val="20"/>
              </w:rPr>
              <w:t>.竞争性谈判响应文件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供应商应按照竞争性谈判文件中提供的格式完整、正确填写。</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2</w:t>
            </w:r>
            <w:r>
              <w:rPr>
                <w:rFonts w:hint="eastAsia" w:ascii="宋体" w:hAnsi="宋体" w:eastAsia="宋体" w:cs="Times New Roman"/>
                <w:sz w:val="24"/>
                <w:szCs w:val="20"/>
              </w:rPr>
              <w:t>.报价一览表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）报价一览表应填写项目总价。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2</w:t>
            </w:r>
            <w:r>
              <w:rPr>
                <w:rFonts w:hint="eastAsia" w:ascii="宋体" w:hAnsi="宋体" w:eastAsia="宋体" w:cs="Times New Roman"/>
                <w:sz w:val="24"/>
                <w:szCs w:val="20"/>
              </w:rPr>
              <w:t>）供应商应按照竞争性谈判文件中提供的格式完整、正确填写报价一览表。报价一览表中的总价应与响应文件报价表中总价完全一致，否则将可能否决其响应文件。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3</w:t>
            </w:r>
            <w:r>
              <w:rPr>
                <w:rFonts w:hint="eastAsia" w:ascii="宋体" w:hAnsi="宋体" w:eastAsia="宋体" w:cs="Times New Roman"/>
                <w:sz w:val="24"/>
                <w:szCs w:val="20"/>
              </w:rPr>
              <w:t>）报价一览表除了装订在竞争性谈判响应文件中之外，还应制作一份正本，并和响应文件保证金一起单独封装在小信封中，密封后与竞争性谈判响应文件一并递交。</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3</w:t>
            </w:r>
            <w:r>
              <w:rPr>
                <w:rFonts w:hint="eastAsia" w:ascii="宋体" w:hAnsi="宋体" w:eastAsia="宋体" w:cs="Times New Roman"/>
                <w:sz w:val="24"/>
                <w:szCs w:val="20"/>
              </w:rPr>
              <w:t>.响应文件分项报价表</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4</w:t>
            </w:r>
            <w:r>
              <w:rPr>
                <w:rFonts w:hint="eastAsia" w:ascii="宋体" w:hAnsi="宋体" w:eastAsia="宋体" w:cs="Times New Roman"/>
                <w:sz w:val="24"/>
                <w:szCs w:val="20"/>
              </w:rPr>
              <w:t>.货物说明一览表</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5</w:t>
            </w:r>
            <w:r>
              <w:rPr>
                <w:rFonts w:hint="eastAsia" w:ascii="宋体" w:hAnsi="宋体" w:eastAsia="宋体" w:cs="Times New Roman"/>
                <w:sz w:val="24"/>
                <w:szCs w:val="20"/>
              </w:rPr>
              <w:t>.响应/偏离表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供应商应按《竞争性谈判文件》要求填写技术规格响应/偏离表、商务条款响应/偏离表。</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6</w:t>
            </w:r>
            <w:r>
              <w:rPr>
                <w:rFonts w:hint="eastAsia" w:ascii="宋体" w:hAnsi="宋体" w:eastAsia="宋体" w:cs="Times New Roman"/>
                <w:sz w:val="24"/>
                <w:szCs w:val="20"/>
              </w:rPr>
              <w:t>.供应商资格证明文件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供应商资质证明文件具体内容见规定。</w:t>
            </w:r>
          </w:p>
          <w:p>
            <w:pPr>
              <w:spacing w:line="360" w:lineRule="auto"/>
              <w:rPr>
                <w:rFonts w:ascii="宋体" w:hAnsi="宋体" w:eastAsia="宋体" w:cs="Times New Roman"/>
                <w:strike/>
                <w:color w:val="00B0F0"/>
                <w:sz w:val="24"/>
                <w:szCs w:val="20"/>
              </w:rPr>
            </w:pPr>
            <w:r>
              <w:rPr>
                <w:rFonts w:hint="eastAsia" w:ascii="Times New Roman" w:hAnsi="Times New Roman" w:eastAsia="宋体" w:cs="Times New Roman"/>
                <w:sz w:val="24"/>
                <w:szCs w:val="20"/>
              </w:rPr>
              <w:t>7</w:t>
            </w:r>
            <w:r>
              <w:rPr>
                <w:rFonts w:hint="eastAsia" w:ascii="宋体" w:hAnsi="宋体" w:eastAsia="宋体" w:cs="Times New Roman"/>
                <w:sz w:val="24"/>
                <w:szCs w:val="20"/>
              </w:rPr>
              <w:t>.产品详细清单（包括软硬件及伴随服务）</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8</w:t>
            </w:r>
            <w:r>
              <w:rPr>
                <w:rFonts w:hint="eastAsia" w:ascii="宋体" w:hAnsi="宋体" w:eastAsia="宋体" w:cs="Times New Roman"/>
                <w:sz w:val="24"/>
                <w:szCs w:val="20"/>
              </w:rPr>
              <w:t>.提供详细配件清单及价格</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9</w:t>
            </w:r>
            <w:r>
              <w:rPr>
                <w:rFonts w:hint="eastAsia" w:ascii="宋体" w:hAnsi="宋体" w:eastAsia="宋体" w:cs="Times New Roman"/>
                <w:sz w:val="24"/>
                <w:szCs w:val="20"/>
              </w:rPr>
              <w:t>.其他资料（供应商认为有必要提交的其他资料）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5</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4469"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供应商</w:t>
            </w:r>
            <w:r>
              <w:rPr>
                <w:rFonts w:hint="eastAsia" w:ascii="宋体" w:hAnsi="宋体" w:eastAsia="宋体" w:cs="Times New Roman"/>
                <w:sz w:val="24"/>
                <w:szCs w:val="20"/>
              </w:rPr>
              <w:t>应严格按照竞争性谈判文件规定的格式和内容编制响应文件，</w:t>
            </w:r>
            <w:r>
              <w:rPr>
                <w:rFonts w:ascii="宋体" w:hAnsi="宋体" w:eastAsia="宋体" w:cs="Times New Roman"/>
                <w:sz w:val="24"/>
                <w:szCs w:val="20"/>
              </w:rPr>
              <w:t>要求对本竞争性谈判文件</w:t>
            </w:r>
            <w:r>
              <w:rPr>
                <w:rFonts w:hint="eastAsia" w:ascii="宋体" w:hAnsi="宋体" w:eastAsia="宋体" w:cs="Times New Roman"/>
                <w:sz w:val="24"/>
                <w:szCs w:val="20"/>
              </w:rPr>
              <w:t>第三章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hint="eastAsia" w:ascii="Times New Roman" w:hAnsi="Times New Roman" w:eastAsia="宋体" w:cs="Times New Roman"/>
                <w:sz w:val="24"/>
                <w:szCs w:val="20"/>
              </w:rPr>
              <w:t>5</w:t>
            </w:r>
            <w:r>
              <w:rPr>
                <w:rFonts w:hint="eastAsia" w:ascii="宋体" w:hAnsi="宋体" w:eastAsia="宋体" w:cs="Times New Roman"/>
                <w:sz w:val="24"/>
                <w:szCs w:val="20"/>
              </w:rPr>
              <w:t>.</w:t>
            </w:r>
            <w:r>
              <w:rPr>
                <w:rFonts w:hint="eastAsia" w:ascii="Times New Roman" w:hAnsi="Times New Roman" w:eastAsia="宋体" w:cs="Times New Roman"/>
                <w:sz w:val="24"/>
                <w:szCs w:val="20"/>
              </w:rPr>
              <w:t>2</w:t>
            </w:r>
          </w:p>
        </w:tc>
        <w:tc>
          <w:tcPr>
            <w:tcW w:w="4469"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供应商应根据第三章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中所列产品及要求报价，响应文件总价中不得包含超出竞争性谈判文件要求以外的内容，否则在评审时不予核减。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5</w:t>
            </w:r>
            <w:r>
              <w:rPr>
                <w:rFonts w:hint="eastAsia" w:ascii="宋体" w:hAnsi="宋体" w:eastAsia="宋体" w:cs="Times New Roman"/>
                <w:sz w:val="24"/>
                <w:szCs w:val="20"/>
              </w:rPr>
              <w:t>.</w:t>
            </w:r>
            <w:r>
              <w:rPr>
                <w:rFonts w:hint="eastAsia" w:ascii="Times New Roman" w:hAnsi="Times New Roman" w:eastAsia="宋体" w:cs="Times New Roman"/>
                <w:sz w:val="24"/>
                <w:szCs w:val="20"/>
              </w:rPr>
              <w:t>3</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本次竞争性谈判不接受选择性报价或者有附加条件的报价。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5</w:t>
            </w:r>
            <w:r>
              <w:rPr>
                <w:rFonts w:hint="eastAsia" w:ascii="宋体" w:hAnsi="宋体" w:eastAsia="宋体" w:cs="Times New Roman"/>
                <w:sz w:val="24"/>
                <w:szCs w:val="20"/>
              </w:rPr>
              <w:t>.</w:t>
            </w:r>
            <w:r>
              <w:rPr>
                <w:rFonts w:hint="eastAsia" w:ascii="Times New Roman" w:hAnsi="Times New Roman" w:eastAsia="宋体" w:cs="Times New Roman"/>
                <w:sz w:val="24"/>
                <w:szCs w:val="20"/>
              </w:rPr>
              <w:t>3</w:t>
            </w:r>
            <w:r>
              <w:rPr>
                <w:rFonts w:ascii="宋体" w:hAnsi="宋体" w:eastAsia="宋体" w:cs="Times New Roman"/>
                <w:sz w:val="24"/>
                <w:szCs w:val="20"/>
              </w:rPr>
              <w:t>.</w:t>
            </w:r>
            <w:r>
              <w:rPr>
                <w:rFonts w:ascii="Times New Roman" w:hAnsi="Times New Roman" w:eastAsia="宋体" w:cs="Times New Roman"/>
                <w:sz w:val="24"/>
                <w:szCs w:val="20"/>
              </w:rPr>
              <w:t>1</w:t>
            </w:r>
          </w:p>
        </w:tc>
        <w:tc>
          <w:tcPr>
            <w:tcW w:w="4469"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Times New Roman" w:hAnsi="Times New Roman" w:eastAsia="宋体" w:cs="Times New Roman"/>
                <w:sz w:val="24"/>
                <w:szCs w:val="20"/>
              </w:rPr>
              <w:t>1</w:t>
            </w:r>
            <w:r>
              <w:rPr>
                <w:rFonts w:hint="eastAsia" w:ascii="宋体" w:hAnsi="宋体" w:eastAsia="宋体" w:cs="Times New Roman"/>
                <w:sz w:val="24"/>
                <w:szCs w:val="20"/>
              </w:rPr>
              <w:t>）关境内制造的货物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Times New Roman" w:hAnsi="Times New Roman" w:eastAsia="宋体" w:cs="Times New Roman"/>
                <w:sz w:val="24"/>
                <w:szCs w:val="20"/>
              </w:rPr>
              <w:t>EXW</w:t>
            </w:r>
            <w:r>
              <w:rPr>
                <w:rFonts w:hint="eastAsia" w:ascii="宋体" w:hAnsi="宋体" w:eastAsia="宋体" w:cs="Times New Roman"/>
                <w:sz w:val="24"/>
                <w:szCs w:val="20"/>
              </w:rPr>
              <w:t>（出厂价）（应包括增值税和其它税费）；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3</w:t>
            </w:r>
            <w:r>
              <w:rPr>
                <w:rFonts w:hint="eastAsia" w:ascii="宋体" w:hAnsi="宋体" w:eastAsia="宋体" w:cs="Times New Roman"/>
                <w:sz w:val="24"/>
                <w:szCs w:val="20"/>
              </w:rPr>
              <w:t>）各种售前、安装调试、验收以及移交等合同履行期间的伴随服务费用；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4</w:t>
            </w:r>
            <w:r>
              <w:rPr>
                <w:rFonts w:hint="eastAsia" w:ascii="宋体" w:hAnsi="宋体" w:eastAsia="宋体" w:cs="Times New Roman"/>
                <w:sz w:val="24"/>
                <w:szCs w:val="20"/>
              </w:rPr>
              <w:t>）按照第三章相应条款中列出的各类培训费用。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Times New Roman" w:hAnsi="Times New Roman" w:eastAsia="宋体" w:cs="Times New Roman"/>
                <w:sz w:val="24"/>
                <w:szCs w:val="20"/>
              </w:rPr>
              <w:t>2</w:t>
            </w:r>
            <w:r>
              <w:rPr>
                <w:rFonts w:hint="eastAsia" w:ascii="宋体" w:hAnsi="宋体" w:eastAsia="宋体" w:cs="Times New Roman"/>
                <w:sz w:val="24"/>
                <w:szCs w:val="20"/>
              </w:rPr>
              <w:t>）递交文件截止时间前已经进口的货物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w:t>
            </w:r>
            <w:r>
              <w:rPr>
                <w:rFonts w:ascii="Times New Roman" w:hAnsi="Times New Roman" w:eastAsia="宋体" w:cs="Times New Roman"/>
                <w:sz w:val="24"/>
                <w:szCs w:val="20"/>
              </w:rPr>
              <w:t>1</w:t>
            </w:r>
            <w:r>
              <w:rPr>
                <w:rFonts w:ascii="宋体" w:hAnsi="宋体" w:eastAsia="宋体" w:cs="Times New Roman"/>
                <w:sz w:val="24"/>
                <w:szCs w:val="20"/>
              </w:rPr>
              <w:t>）</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w:t>
            </w:r>
            <w:r>
              <w:rPr>
                <w:rFonts w:ascii="Times New Roman" w:hAnsi="Times New Roman"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3</w:t>
            </w:r>
            <w:r>
              <w:rPr>
                <w:rFonts w:hint="eastAsia" w:ascii="宋体" w:hAnsi="宋体" w:eastAsia="宋体" w:cs="Times New Roman"/>
                <w:sz w:val="24"/>
                <w:szCs w:val="20"/>
              </w:rPr>
              <w:t>）各种售前、安装调试、验收以及移交等合同履行期间的伴随服务费用；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w:t>
            </w:r>
            <w:r>
              <w:rPr>
                <w:rFonts w:ascii="Times New Roman" w:hAnsi="Times New Roman" w:eastAsia="宋体" w:cs="Times New Roman"/>
                <w:sz w:val="24"/>
                <w:szCs w:val="20"/>
              </w:rPr>
              <w:t>4</w:t>
            </w:r>
            <w:r>
              <w:rPr>
                <w:rFonts w:ascii="宋体" w:hAnsi="宋体" w:eastAsia="宋体" w:cs="Times New Roman"/>
                <w:sz w:val="24"/>
                <w:szCs w:val="20"/>
              </w:rPr>
              <w:t>）</w:t>
            </w:r>
            <w:r>
              <w:rPr>
                <w:rFonts w:hint="eastAsia" w:ascii="宋体" w:hAnsi="宋体" w:eastAsia="宋体" w:cs="Times New Roman"/>
                <w:sz w:val="24"/>
                <w:szCs w:val="20"/>
              </w:rPr>
              <w:t>按照第三章相应条款中列出的各类培训费用。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6</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6</w:t>
            </w:r>
            <w:r>
              <w:rPr>
                <w:rFonts w:hint="eastAsia" w:ascii="宋体" w:hAnsi="宋体" w:eastAsia="宋体" w:cs="Times New Roman"/>
                <w:sz w:val="24"/>
                <w:szCs w:val="20"/>
              </w:rPr>
              <w:t>.</w:t>
            </w:r>
            <w:r>
              <w:rPr>
                <w:rFonts w:hint="eastAsia" w:ascii="Times New Roman" w:hAnsi="Times New Roman" w:eastAsia="宋体" w:cs="Times New Roman"/>
                <w:sz w:val="24"/>
                <w:szCs w:val="20"/>
              </w:rPr>
              <w:t>2</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7</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Times New Roman" w:hAnsi="Times New Roman" w:eastAsia="宋体" w:cs="Times New Roman"/>
                <w:sz w:val="24"/>
                <w:szCs w:val="20"/>
              </w:rPr>
              <w:t>7</w:t>
            </w:r>
            <w:r>
              <w:rPr>
                <w:rFonts w:hint="eastAsia" w:ascii="宋体" w:hAnsi="宋体" w:eastAsia="宋体" w:cs="Times New Roman"/>
                <w:sz w:val="24"/>
                <w:szCs w:val="20"/>
              </w:rPr>
              <w:t>.</w:t>
            </w:r>
            <w:r>
              <w:rPr>
                <w:rFonts w:ascii="Times New Roman" w:hAnsi="Times New Roman" w:eastAsia="宋体" w:cs="Times New Roman"/>
                <w:sz w:val="24"/>
                <w:szCs w:val="20"/>
              </w:rPr>
              <w:t>2</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）供应商具有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2</w:t>
            </w:r>
            <w:r>
              <w:rPr>
                <w:rFonts w:hint="eastAsia" w:ascii="宋体" w:hAnsi="宋体" w:eastAsia="宋体" w:cs="Times New Roman"/>
                <w:sz w:val="24"/>
                <w:szCs w:val="20"/>
              </w:rPr>
              <w:t>）供应商</w:t>
            </w:r>
            <w:r>
              <w:rPr>
                <w:rFonts w:hint="eastAsia" w:ascii="宋体" w:hAnsi="宋体" w:eastAsia="宋体" w:cs="宋体"/>
                <w:color w:val="000000" w:themeColor="text1"/>
                <w:sz w:val="24"/>
                <w:szCs w:val="20"/>
                <w:highlight w:val="none"/>
              </w:rPr>
              <w:t>未被“信用中国”网站（www.creditchina.gov.cn）</w:t>
            </w:r>
            <w:r>
              <w:rPr>
                <w:rFonts w:hint="eastAsia" w:ascii="宋体" w:hAnsi="宋体" w:eastAsia="宋体" w:cs="宋体"/>
                <w:color w:val="000000" w:themeColor="text1"/>
                <w:sz w:val="24"/>
                <w:szCs w:val="20"/>
                <w:highlight w:val="none"/>
                <w:lang w:val="en-US" w:eastAsia="zh-CN"/>
              </w:rPr>
              <w:t>列入失信被执行人、税收违法黑名单；</w:t>
            </w:r>
            <w:r>
              <w:rPr>
                <w:rFonts w:hint="eastAsia" w:ascii="宋体" w:hAnsi="宋体" w:eastAsia="宋体" w:cs="Times New Roman"/>
                <w:sz w:val="24"/>
                <w:szCs w:val="20"/>
              </w:rPr>
              <w:t>供应商</w:t>
            </w:r>
            <w:r>
              <w:rPr>
                <w:rFonts w:hint="eastAsia" w:ascii="宋体" w:hAnsi="宋体" w:eastAsia="宋体" w:cs="宋体"/>
                <w:color w:val="000000" w:themeColor="text1"/>
                <w:sz w:val="24"/>
                <w:szCs w:val="20"/>
                <w:highlight w:val="none"/>
                <w:lang w:val="en-US" w:eastAsia="zh-CN"/>
              </w:rPr>
              <w:t>未被</w:t>
            </w:r>
            <w:r>
              <w:rPr>
                <w:rFonts w:hint="eastAsia" w:ascii="宋体" w:hAnsi="宋体" w:eastAsia="宋体" w:cs="宋体"/>
                <w:color w:val="000000" w:themeColor="text1"/>
                <w:sz w:val="24"/>
                <w:szCs w:val="20"/>
                <w:highlight w:val="none"/>
              </w:rPr>
              <w:t>中国政府采购网（www.ccgp.gov.cn）列入政府采购严重违法失信行为记录名单</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3</w:t>
            </w:r>
            <w:r>
              <w:rPr>
                <w:rFonts w:hint="eastAsia" w:ascii="宋体" w:hAnsi="宋体" w:eastAsia="宋体" w:cs="Times New Roman"/>
                <w:sz w:val="24"/>
                <w:szCs w:val="20"/>
              </w:rPr>
              <w:t>）供应商参加政府采购活动前三年内，在经营活动中没有重大违法记录；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4</w:t>
            </w:r>
            <w:r>
              <w:rPr>
                <w:rFonts w:hint="eastAsia" w:ascii="宋体" w:hAnsi="宋体" w:eastAsia="宋体" w:cs="Times New Roman"/>
                <w:sz w:val="24"/>
                <w:szCs w:val="20"/>
              </w:rPr>
              <w:t>）供应商是专业生产本次所需产品的制造商，或由制造商指定一个代理商作为本次响应文件的唯一授权代理；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w:t>
            </w:r>
            <w:r>
              <w:rPr>
                <w:rFonts w:ascii="Times New Roman" w:hAnsi="Times New Roman" w:eastAsia="宋体" w:cs="Times New Roman"/>
                <w:sz w:val="24"/>
                <w:szCs w:val="20"/>
              </w:rPr>
              <w:t>5</w:t>
            </w:r>
            <w:r>
              <w:rPr>
                <w:rFonts w:ascii="宋体" w:hAnsi="宋体" w:eastAsia="宋体" w:cs="Times New Roman"/>
                <w:sz w:val="24"/>
                <w:szCs w:val="20"/>
              </w:rPr>
              <w:t>）供应商必须具有相应</w:t>
            </w:r>
            <w:r>
              <w:rPr>
                <w:rFonts w:hint="eastAsia" w:ascii="宋体" w:hAnsi="宋体" w:eastAsia="宋体" w:cs="Times New Roman"/>
                <w:sz w:val="24"/>
                <w:szCs w:val="20"/>
              </w:rPr>
              <w:t>产品</w:t>
            </w:r>
            <w:r>
              <w:rPr>
                <w:rFonts w:ascii="宋体" w:hAnsi="宋体" w:eastAsia="宋体" w:cs="Times New Roman"/>
                <w:sz w:val="24"/>
                <w:szCs w:val="20"/>
              </w:rPr>
              <w:t>的《医疗器械生产企业许可证》</w:t>
            </w:r>
            <w:r>
              <w:rPr>
                <w:rFonts w:hint="eastAsia" w:ascii="宋体" w:hAnsi="宋体" w:eastAsia="宋体" w:cs="Times New Roman"/>
                <w:sz w:val="24"/>
                <w:szCs w:val="20"/>
              </w:rPr>
              <w:t>和</w:t>
            </w:r>
            <w:r>
              <w:rPr>
                <w:rFonts w:ascii="宋体" w:hAnsi="宋体" w:eastAsia="宋体" w:cs="Times New Roman"/>
                <w:sz w:val="24"/>
                <w:szCs w:val="20"/>
              </w:rPr>
              <w:t>《医疗器械经营企业许可证》；</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w:t>
            </w:r>
            <w:r>
              <w:rPr>
                <w:rFonts w:ascii="Times New Roman" w:hAnsi="Times New Roman" w:eastAsia="宋体" w:cs="Times New Roman"/>
                <w:sz w:val="24"/>
                <w:szCs w:val="20"/>
              </w:rPr>
              <w:t>6</w:t>
            </w:r>
            <w:r>
              <w:rPr>
                <w:rFonts w:ascii="宋体" w:hAnsi="宋体" w:eastAsia="宋体" w:cs="Times New Roman"/>
                <w:sz w:val="24"/>
                <w:szCs w:val="20"/>
              </w:rPr>
              <w:t xml:space="preserve">）响应文件产品需具备中华人民共和国国家食品药品和国家食品药品监督管理局颁发的开标之日在有效期内的《医疗器械产品注册证》。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Times New Roman" w:hAnsi="Times New Roman" w:eastAsia="宋体" w:cs="Times New Roman"/>
                <w:sz w:val="24"/>
                <w:szCs w:val="20"/>
              </w:rPr>
              <w:t>7</w:t>
            </w:r>
            <w:r>
              <w:rPr>
                <w:rFonts w:hint="eastAsia" w:ascii="宋体" w:hAnsi="宋体" w:eastAsia="宋体" w:cs="Times New Roman"/>
                <w:sz w:val="24"/>
                <w:szCs w:val="20"/>
              </w:rPr>
              <w:t>.</w:t>
            </w:r>
            <w:r>
              <w:rPr>
                <w:rFonts w:hint="eastAsia" w:ascii="Times New Roman" w:hAnsi="Times New Roman" w:eastAsia="宋体" w:cs="Times New Roman"/>
                <w:sz w:val="24"/>
                <w:szCs w:val="20"/>
              </w:rPr>
              <w:t>3</w:t>
            </w:r>
          </w:p>
        </w:tc>
        <w:tc>
          <w:tcPr>
            <w:tcW w:w="4469"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供应商必须提交的资格证明文件应包括：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）供应商在注册地的相关注册法律文件。若供应商在中华人民共和国境内注册的，则必须提供营业执照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2</w:t>
            </w:r>
            <w:r>
              <w:rPr>
                <w:rFonts w:hint="eastAsia" w:ascii="宋体" w:hAnsi="宋体" w:eastAsia="宋体" w:cs="Times New Roman"/>
                <w:sz w:val="24"/>
                <w:szCs w:val="20"/>
              </w:rPr>
              <w:t>）如果供应商是响应文件货物制造厂家，应按照国家有关规定提供食品药品监督管理部门颁发的《中华人民共和国医疗器械生产企业许可证》或《第一类医疗器械生产备案凭证》、《中华人民共和国医疗器械经营企业许可证》；如果供应商是经营销售企业，应按照国家有关规定提供食品药品监督管理部门颁发的《中华人民共和国医疗器械经营企业许可证》或《第二类医疗器械经营备案凭证》。供应商的生产或经营范围应当与国家相关许可保持一致。</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3</w:t>
            </w:r>
            <w:r>
              <w:rPr>
                <w:rFonts w:hint="eastAsia" w:ascii="宋体" w:hAnsi="宋体" w:eastAsia="宋体" w:cs="Times New Roman"/>
                <w:sz w:val="24"/>
                <w:szCs w:val="20"/>
              </w:rPr>
              <w:t>）供应商应提供响应文件货物由食品药品监督管理部门颁发的初审之日在有效期内的《中华人民共和国医疗器械注册证》或《第一类医疗器械备案凭证》。响应文件货物的规格型号应当与《中华人民共和国医疗器械注册证》或者《第一类医疗器械备案凭证》中的规格型号保持一致。</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4</w:t>
            </w:r>
            <w:r>
              <w:rPr>
                <w:rFonts w:hint="eastAsia" w:ascii="宋体" w:hAnsi="宋体" w:eastAsia="宋体" w:cs="Times New Roman"/>
                <w:sz w:val="24"/>
                <w:szCs w:val="20"/>
              </w:rPr>
              <w:t>）供应商应是专业生产本次所需产品的制造商或制造商唯一授权的参与本次响应文件的代理商，且应得到制造商针对本次响应文件项目的制造商授权书，授权书的有效期应至少与响应文件有效期一致；</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5</w:t>
            </w:r>
            <w:r>
              <w:rPr>
                <w:rFonts w:hint="eastAsia" w:ascii="宋体" w:hAnsi="宋体" w:eastAsia="宋体" w:cs="Times New Roman"/>
                <w:sz w:val="24"/>
                <w:szCs w:val="20"/>
              </w:rPr>
              <w:t>）提供用户名单（有用户名称）；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6</w:t>
            </w:r>
            <w:r>
              <w:rPr>
                <w:rFonts w:hint="eastAsia" w:ascii="宋体" w:hAnsi="宋体" w:eastAsia="宋体" w:cs="Times New Roman"/>
                <w:sz w:val="24"/>
                <w:szCs w:val="20"/>
              </w:rPr>
              <w:t>）供应商需提供无重大违法记录承诺书；</w:t>
            </w:r>
            <w:r>
              <w:rPr>
                <w:rFonts w:hint="eastAsia" w:ascii="宋体" w:hAnsi="宋体" w:eastAsia="宋体" w:cs="Times New Roman"/>
                <w:sz w:val="24"/>
                <w:szCs w:val="24"/>
              </w:rPr>
              <w:t>（格式见附件</w:t>
            </w:r>
            <w:r>
              <w:rPr>
                <w:rFonts w:hint="eastAsia" w:ascii="Times New Roman" w:hAnsi="Times New Roman" w:eastAsia="宋体" w:cs="Times New Roman"/>
                <w:sz w:val="24"/>
                <w:szCs w:val="24"/>
              </w:rPr>
              <w:t>1</w:t>
            </w:r>
            <w:r>
              <w:rPr>
                <w:rFonts w:hint="eastAsia" w:ascii="宋体" w:hAnsi="宋体" w:eastAsia="宋体" w:cs="Times New Roman"/>
                <w:sz w:val="24"/>
                <w:szCs w:val="24"/>
              </w:rPr>
              <w:t>）</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7</w:t>
            </w:r>
            <w:r>
              <w:rPr>
                <w:rFonts w:hint="eastAsia" w:ascii="宋体" w:hAnsi="宋体" w:eastAsia="宋体" w:cs="Times New Roman"/>
                <w:sz w:val="24"/>
                <w:szCs w:val="20"/>
              </w:rPr>
              <w:t>）</w:t>
            </w:r>
            <w:r>
              <w:rPr>
                <w:rFonts w:hint="eastAsia" w:ascii="宋体" w:hAnsi="宋体" w:eastAsia="宋体" w:cs="Times New Roman"/>
                <w:sz w:val="24"/>
                <w:szCs w:val="24"/>
              </w:rPr>
              <w:t>供应商需提供无行贿犯罪记录声明函；（格式见附件</w:t>
            </w:r>
            <w:r>
              <w:rPr>
                <w:rFonts w:hint="eastAsia" w:ascii="Times New Roman" w:hAnsi="Times New Roman" w:eastAsia="宋体" w:cs="Times New Roman"/>
                <w:sz w:val="24"/>
                <w:szCs w:val="24"/>
              </w:rPr>
              <w:t>2</w:t>
            </w:r>
            <w:r>
              <w:rPr>
                <w:rFonts w:hint="eastAsia" w:ascii="宋体" w:hAnsi="宋体" w:eastAsia="宋体" w:cs="Times New Roman"/>
                <w:sz w:val="24"/>
                <w:szCs w:val="24"/>
              </w:rPr>
              <w:t>）</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8</w:t>
            </w:r>
            <w:r>
              <w:rPr>
                <w:rFonts w:hint="eastAsia" w:ascii="宋体" w:hAnsi="宋体" w:eastAsia="宋体" w:cs="Times New Roman"/>
                <w:sz w:val="24"/>
                <w:szCs w:val="20"/>
              </w:rPr>
              <w:t>）供应商提供业务员社保信息证明；</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供应商认为需加以说明的其他内容。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供应商提交的资格证明文件的原件或复印件上均需加盖供应商的公章。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对于上述要求中未涵盖，但属响应文件产品必须符合的强制性认证标准、国家关于安全、卫生、环保、质量、能耗等有关规定的，必须提供相关资格证明文件，否则其响应文件将被拒绝。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7</w:t>
            </w:r>
            <w:r>
              <w:rPr>
                <w:rFonts w:hint="eastAsia" w:ascii="宋体" w:hAnsi="宋体" w:eastAsia="宋体" w:cs="Times New Roman"/>
                <w:sz w:val="24"/>
                <w:szCs w:val="20"/>
              </w:rPr>
              <w:t>.</w:t>
            </w:r>
            <w:r>
              <w:rPr>
                <w:rFonts w:ascii="Times New Roman" w:hAnsi="Times New Roman" w:eastAsia="宋体" w:cs="Times New Roman"/>
                <w:sz w:val="24"/>
                <w:szCs w:val="20"/>
              </w:rPr>
              <w:t>4</w:t>
            </w:r>
          </w:p>
        </w:tc>
        <w:tc>
          <w:tcPr>
            <w:tcW w:w="4469"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证明货物和服务与竞争性谈判文件的要求相一致的文件，可以是文字资料、图纸和数据，包括但不限于：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（1）</w:t>
            </w:r>
            <w:r>
              <w:rPr>
                <w:rFonts w:hint="eastAsia" w:ascii="宋体" w:hAnsi="宋体" w:eastAsia="宋体" w:cs="Times New Roman"/>
                <w:sz w:val="24"/>
                <w:szCs w:val="20"/>
              </w:rPr>
              <w:t>货物主要技术指标和性能的详细说明；</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（2）</w:t>
            </w:r>
            <w:r>
              <w:rPr>
                <w:rFonts w:hint="eastAsia" w:ascii="宋体" w:hAnsi="宋体" w:eastAsia="宋体" w:cs="Times New Roman"/>
                <w:sz w:val="24"/>
                <w:szCs w:val="20"/>
              </w:rPr>
              <w:t>供应商必须提供响应文件货物验收合格后开始使用至第</w:t>
            </w:r>
            <w:r>
              <w:rPr>
                <w:rFonts w:hint="eastAsia" w:ascii="Times New Roman" w:hAnsi="Times New Roman" w:eastAsia="宋体" w:cs="Times New Roman"/>
                <w:sz w:val="24"/>
                <w:szCs w:val="20"/>
              </w:rPr>
              <w:t>10</w:t>
            </w:r>
            <w:r>
              <w:rPr>
                <w:rFonts w:hint="eastAsia" w:ascii="宋体" w:hAnsi="宋体" w:eastAsia="宋体" w:cs="Times New Roman"/>
                <w:sz w:val="24"/>
                <w:szCs w:val="20"/>
              </w:rPr>
              <w:t>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（3）</w:t>
            </w:r>
            <w:r>
              <w:rPr>
                <w:rFonts w:hint="eastAsia" w:ascii="宋体" w:hAnsi="宋体" w:eastAsia="宋体" w:cs="Times New Roman"/>
                <w:sz w:val="24"/>
                <w:szCs w:val="20"/>
              </w:rPr>
              <w:t>供应商对照竞争性谈判响应文件技术规格，逐条说明所提供的货物和服务已对竞争性谈判响应文件的技术规格做出了实质性的响应，并申明与技术规格条文的偏差和例外。特别对有具体参数要求的指标，供应商必须提供所投产品的具体参数值。</w:t>
            </w:r>
          </w:p>
          <w:p>
            <w:pPr>
              <w:spacing w:line="360" w:lineRule="auto"/>
              <w:rPr>
                <w:rFonts w:ascii="宋体" w:hAnsi="宋体" w:eastAsia="宋体" w:cs="Times New Roman"/>
                <w:sz w:val="24"/>
                <w:szCs w:val="20"/>
              </w:rPr>
            </w:pPr>
            <w:r>
              <w:rPr>
                <w:rFonts w:hint="eastAsia" w:ascii="Times New Roman" w:hAnsi="Times New Roman" w:eastAsia="宋体" w:cs="Times New Roman"/>
                <w:sz w:val="24"/>
                <w:szCs w:val="20"/>
              </w:rPr>
              <w:t>（4）</w:t>
            </w:r>
            <w:r>
              <w:rPr>
                <w:rFonts w:hint="eastAsia" w:ascii="宋体" w:hAnsi="宋体" w:eastAsia="宋体" w:cs="Times New Roman"/>
                <w:sz w:val="24"/>
                <w:szCs w:val="20"/>
              </w:rPr>
              <w:t>供应商必须对重要技术参数提供技术支持资料（例如</w:t>
            </w:r>
            <w:r>
              <w:rPr>
                <w:rFonts w:hint="eastAsia" w:ascii="Times New Roman" w:hAnsi="Times New Roman" w:eastAsia="宋体" w:cs="Times New Roman"/>
                <w:sz w:val="24"/>
                <w:szCs w:val="20"/>
              </w:rPr>
              <w:t>DATA</w:t>
            </w:r>
            <w:r>
              <w:rPr>
                <w:rFonts w:hint="eastAsia" w:ascii="宋体" w:hAnsi="宋体" w:eastAsia="宋体" w:cs="Times New Roman"/>
                <w:sz w:val="24"/>
                <w:szCs w:val="20"/>
              </w:rPr>
              <w:t xml:space="preserve"> </w:t>
            </w:r>
            <w:r>
              <w:rPr>
                <w:rFonts w:hint="eastAsia" w:ascii="Times New Roman" w:hAnsi="Times New Roman" w:eastAsia="宋体" w:cs="Times New Roman"/>
                <w:sz w:val="24"/>
                <w:szCs w:val="20"/>
              </w:rPr>
              <w:t>SHEET</w:t>
            </w:r>
            <w:r>
              <w:rPr>
                <w:rFonts w:hint="eastAsia" w:ascii="宋体" w:hAnsi="宋体" w:eastAsia="宋体" w:cs="Times New Roman"/>
                <w:sz w:val="24"/>
                <w:szCs w:val="20"/>
              </w:rPr>
              <w:t>、样本、产品说明书等制造商公开发布的印刷资料或第三方检测机构出具的检测报告或权威认证机构出具的认证证书等具有法律效力的文件），未提供的，评审时不予认可。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Times New Roman" w:hAnsi="Times New Roman" w:eastAsia="宋体" w:cs="Times New Roman"/>
                <w:sz w:val="24"/>
                <w:szCs w:val="20"/>
              </w:rPr>
              <w:t>（5）</w:t>
            </w:r>
            <w:r>
              <w:rPr>
                <w:rFonts w:hint="eastAsia" w:ascii="宋体" w:hAnsi="宋体" w:eastAsia="宋体" w:cs="Times New Roman"/>
                <w:sz w:val="24"/>
                <w:szCs w:val="20"/>
              </w:rPr>
              <w:t>供应商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8</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4469"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响应文件有效期：</w:t>
            </w:r>
            <w:r>
              <w:rPr>
                <w:rFonts w:hint="eastAsia" w:ascii="Times New Roman" w:hAnsi="Times New Roman" w:eastAsia="宋体" w:cs="Times New Roman"/>
                <w:sz w:val="24"/>
                <w:szCs w:val="20"/>
              </w:rPr>
              <w:t>90</w:t>
            </w:r>
            <w:r>
              <w:rPr>
                <w:rFonts w:hint="eastAsia" w:ascii="宋体" w:hAnsi="宋体" w:eastAsia="宋体" w:cs="Times New Roman"/>
                <w:sz w:val="24"/>
                <w:szCs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9</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4469"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w:t>
            </w:r>
            <w:r>
              <w:rPr>
                <w:rFonts w:hint="eastAsia" w:ascii="Times New Roman" w:hAnsi="Times New Roman" w:eastAsia="宋体" w:cs="Times New Roman"/>
                <w:sz w:val="24"/>
                <w:szCs w:val="20"/>
              </w:rPr>
              <w:t>1</w:t>
            </w:r>
            <w:r>
              <w:rPr>
                <w:rFonts w:hint="eastAsia" w:ascii="宋体" w:hAnsi="宋体" w:eastAsia="宋体" w:cs="Times New Roman"/>
                <w:sz w:val="24"/>
                <w:szCs w:val="20"/>
              </w:rPr>
              <w:t>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w:t>
            </w:r>
            <w:r>
              <w:rPr>
                <w:rFonts w:hint="eastAsia" w:ascii="Times New Roman" w:hAnsi="Times New Roman" w:eastAsia="宋体" w:cs="Times New Roman"/>
                <w:sz w:val="24"/>
                <w:szCs w:val="20"/>
              </w:rPr>
              <w:t>2</w:t>
            </w:r>
            <w:r>
              <w:rPr>
                <w:rFonts w:hint="eastAsia" w:ascii="宋体" w:hAnsi="宋体" w:eastAsia="宋体" w:cs="Times New Roman"/>
                <w:sz w:val="24"/>
                <w:szCs w:val="20"/>
              </w:rPr>
              <w:t>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w:t>
            </w:r>
            <w:r>
              <w:rPr>
                <w:rFonts w:hint="eastAsia" w:ascii="Times New Roman" w:hAnsi="Times New Roman" w:eastAsia="宋体" w:cs="Times New Roman"/>
                <w:sz w:val="24"/>
                <w:szCs w:val="20"/>
              </w:rPr>
              <w:t>1</w:t>
            </w:r>
            <w:r>
              <w:rPr>
                <w:rFonts w:hint="eastAsia" w:ascii="宋体" w:hAnsi="宋体" w:eastAsia="宋体" w:cs="Times New Roman"/>
                <w:sz w:val="24"/>
                <w:szCs w:val="20"/>
              </w:rPr>
              <w:t>份（包含：</w:t>
            </w:r>
            <w:r>
              <w:rPr>
                <w:rFonts w:hint="eastAsia" w:ascii="Times New Roman" w:hAnsi="Times New Roman" w:eastAsia="宋体" w:cs="Times New Roman"/>
                <w:sz w:val="24"/>
                <w:szCs w:val="20"/>
              </w:rPr>
              <w:t>1</w:t>
            </w:r>
            <w:r>
              <w:rPr>
                <w:rFonts w:hint="eastAsia" w:ascii="宋体" w:hAnsi="宋体" w:eastAsia="宋体" w:cs="Times New Roman"/>
                <w:sz w:val="24"/>
                <w:szCs w:val="20"/>
              </w:rPr>
              <w:t>.全套响应文件正本（加盖公章）：</w:t>
            </w:r>
            <w:r>
              <w:rPr>
                <w:rFonts w:hint="eastAsia" w:ascii="Times New Roman" w:hAnsi="Times New Roman" w:eastAsia="宋体" w:cs="Times New Roman"/>
                <w:sz w:val="24"/>
                <w:szCs w:val="20"/>
              </w:rPr>
              <w:t>PDF</w:t>
            </w:r>
            <w:r>
              <w:rPr>
                <w:rFonts w:hint="eastAsia" w:ascii="宋体" w:hAnsi="宋体" w:eastAsia="宋体" w:cs="Times New Roman"/>
                <w:sz w:val="24"/>
                <w:szCs w:val="20"/>
              </w:rPr>
              <w:t>格式；</w:t>
            </w:r>
            <w:r>
              <w:rPr>
                <w:rFonts w:hint="eastAsia" w:ascii="Times New Roman" w:hAnsi="Times New Roman" w:eastAsia="宋体" w:cs="Times New Roman"/>
                <w:sz w:val="24"/>
                <w:szCs w:val="20"/>
              </w:rPr>
              <w:t>2</w:t>
            </w:r>
            <w:r>
              <w:rPr>
                <w:rFonts w:hint="eastAsia" w:ascii="宋体" w:hAnsi="宋体" w:eastAsia="宋体" w:cs="Times New Roman"/>
                <w:sz w:val="24"/>
                <w:szCs w:val="20"/>
              </w:rPr>
              <w:t>.技术偏离表：</w:t>
            </w:r>
            <w:r>
              <w:rPr>
                <w:rFonts w:hint="eastAsia" w:ascii="Times New Roman" w:hAnsi="Times New Roman" w:eastAsia="宋体" w:cs="Times New Roman"/>
                <w:sz w:val="24"/>
                <w:szCs w:val="20"/>
              </w:rPr>
              <w:t>excel</w:t>
            </w:r>
            <w:r>
              <w:rPr>
                <w:rFonts w:hint="eastAsia" w:ascii="宋体" w:hAnsi="宋体" w:eastAsia="宋体" w:cs="Times New Roman"/>
                <w:sz w:val="24"/>
                <w:szCs w:val="20"/>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Times New Roman" w:hAnsi="Times New Roman" w:eastAsia="宋体" w:cs="Times New Roman"/>
                <w:sz w:val="24"/>
                <w:szCs w:val="20"/>
              </w:rPr>
              <w:t>9</w:t>
            </w:r>
            <w:r>
              <w:rPr>
                <w:rFonts w:ascii="宋体" w:hAnsi="宋体" w:eastAsia="宋体" w:cs="Times New Roman"/>
                <w:sz w:val="24"/>
                <w:szCs w:val="20"/>
              </w:rPr>
              <w:t>.</w:t>
            </w:r>
            <w:r>
              <w:rPr>
                <w:rFonts w:ascii="Times New Roman" w:hAnsi="Times New Roman" w:eastAsia="宋体" w:cs="Times New Roman"/>
                <w:sz w:val="24"/>
                <w:szCs w:val="20"/>
              </w:rPr>
              <w:t>2</w:t>
            </w:r>
          </w:p>
        </w:tc>
        <w:tc>
          <w:tcPr>
            <w:tcW w:w="4469"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竞争性谈判响应文件的每一页都应由单位负责人或其授权代表用姓或首字母签字（包括样本等所有资料），否则将被否决。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竞争性谈判评审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10</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4469"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地点：上海市中医医院</w:t>
            </w:r>
            <w:r>
              <w:rPr>
                <w:rFonts w:hint="eastAsia" w:ascii="Times New Roman" w:hAnsi="Times New Roman" w:eastAsia="宋体" w:cs="Times New Roman"/>
                <w:sz w:val="24"/>
                <w:szCs w:val="20"/>
              </w:rPr>
              <w:t>12</w:t>
            </w:r>
            <w:r>
              <w:rPr>
                <w:rFonts w:hint="eastAsia" w:ascii="宋体" w:hAnsi="宋体" w:eastAsia="宋体" w:cs="Times New Roman"/>
                <w:sz w:val="24"/>
                <w:szCs w:val="20"/>
              </w:rPr>
              <w:t>号楼</w:t>
            </w:r>
            <w:r>
              <w:rPr>
                <w:rFonts w:hint="eastAsia" w:ascii="Times New Roman" w:hAnsi="Times New Roman" w:eastAsia="宋体" w:cs="Times New Roman"/>
                <w:sz w:val="24"/>
                <w:szCs w:val="20"/>
              </w:rPr>
              <w:t>205</w:t>
            </w:r>
            <w:r>
              <w:rPr>
                <w:rFonts w:hint="eastAsia" w:ascii="宋体" w:hAnsi="宋体" w:eastAsia="宋体" w:cs="Times New Roman"/>
                <w:sz w:val="24"/>
                <w:szCs w:val="20"/>
              </w:rPr>
              <w:t>室</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地址：上海市静安区芷江中路</w:t>
            </w:r>
            <w:r>
              <w:rPr>
                <w:rFonts w:hint="eastAsia" w:ascii="Times New Roman" w:hAnsi="Times New Roman" w:eastAsia="宋体" w:cs="Times New Roman"/>
                <w:sz w:val="24"/>
                <w:szCs w:val="20"/>
              </w:rPr>
              <w:t>274</w:t>
            </w:r>
            <w:r>
              <w:rPr>
                <w:rFonts w:hint="eastAsia" w:ascii="宋体" w:hAnsi="宋体" w:eastAsia="宋体" w:cs="Times New Roman"/>
                <w:sz w:val="24"/>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Times New Roman" w:hAnsi="Times New Roman" w:eastAsia="宋体" w:cs="Times New Roman"/>
                <w:sz w:val="24"/>
                <w:szCs w:val="20"/>
              </w:rPr>
              <w:t>10</w:t>
            </w:r>
            <w:r>
              <w:rPr>
                <w:rFonts w:ascii="宋体" w:hAnsi="宋体" w:eastAsia="宋体" w:cs="Times New Roman"/>
                <w:sz w:val="24"/>
                <w:szCs w:val="20"/>
              </w:rPr>
              <w:t>.</w:t>
            </w:r>
            <w:r>
              <w:rPr>
                <w:rFonts w:ascii="Times New Roman" w:hAnsi="Times New Roman" w:eastAsia="宋体" w:cs="Times New Roman"/>
                <w:sz w:val="24"/>
                <w:szCs w:val="20"/>
              </w:rPr>
              <w:t>2</w:t>
            </w:r>
          </w:p>
        </w:tc>
        <w:tc>
          <w:tcPr>
            <w:tcW w:w="4469"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医院通过“信用中国”网站（</w:t>
            </w:r>
            <w:r>
              <w:rPr>
                <w:rFonts w:hint="eastAsia" w:ascii="Times New Roman" w:hAnsi="Times New Roman" w:eastAsia="宋体" w:cs="Times New Roman"/>
                <w:sz w:val="24"/>
                <w:szCs w:val="20"/>
              </w:rPr>
              <w:t>www</w:t>
            </w:r>
            <w:r>
              <w:rPr>
                <w:rFonts w:hint="eastAsia" w:ascii="宋体" w:hAnsi="宋体" w:eastAsia="宋体" w:cs="Times New Roman"/>
                <w:sz w:val="24"/>
                <w:szCs w:val="20"/>
              </w:rPr>
              <w:t>.</w:t>
            </w:r>
            <w:r>
              <w:rPr>
                <w:rFonts w:hint="eastAsia" w:ascii="Times New Roman" w:hAnsi="Times New Roman" w:eastAsia="宋体" w:cs="Times New Roman"/>
                <w:sz w:val="24"/>
                <w:szCs w:val="20"/>
              </w:rPr>
              <w:t>creditchina</w:t>
            </w:r>
            <w:r>
              <w:rPr>
                <w:rFonts w:hint="eastAsia" w:ascii="宋体" w:hAnsi="宋体" w:eastAsia="宋体" w:cs="Times New Roman"/>
                <w:sz w:val="24"/>
                <w:szCs w:val="20"/>
              </w:rPr>
              <w:t>.</w:t>
            </w:r>
            <w:r>
              <w:rPr>
                <w:rFonts w:hint="eastAsia" w:ascii="Times New Roman" w:hAnsi="Times New Roman" w:eastAsia="宋体" w:cs="Times New Roman"/>
                <w:sz w:val="24"/>
                <w:szCs w:val="20"/>
              </w:rPr>
              <w:t>gov</w:t>
            </w:r>
            <w:r>
              <w:rPr>
                <w:rFonts w:hint="eastAsia" w:ascii="宋体" w:hAnsi="宋体" w:eastAsia="宋体" w:cs="Times New Roman"/>
                <w:sz w:val="24"/>
                <w:szCs w:val="20"/>
              </w:rPr>
              <w:t>.</w:t>
            </w:r>
            <w:r>
              <w:rPr>
                <w:rFonts w:hint="eastAsia" w:ascii="Times New Roman" w:hAnsi="Times New Roman" w:eastAsia="宋体" w:cs="Times New Roman"/>
                <w:sz w:val="24"/>
                <w:szCs w:val="20"/>
              </w:rPr>
              <w:t>cn</w:t>
            </w:r>
            <w:r>
              <w:rPr>
                <w:rFonts w:hint="eastAsia" w:ascii="宋体" w:hAnsi="宋体" w:eastAsia="宋体" w:cs="Times New Roman"/>
                <w:sz w:val="24"/>
                <w:szCs w:val="20"/>
              </w:rPr>
              <w:t>）、中国政府采购网（</w:t>
            </w:r>
            <w:r>
              <w:rPr>
                <w:rFonts w:hint="eastAsia" w:ascii="Times New Roman" w:hAnsi="Times New Roman" w:eastAsia="宋体" w:cs="Times New Roman"/>
                <w:sz w:val="24"/>
                <w:szCs w:val="20"/>
              </w:rPr>
              <w:t>www</w:t>
            </w:r>
            <w:r>
              <w:rPr>
                <w:rFonts w:hint="eastAsia" w:ascii="宋体" w:hAnsi="宋体" w:eastAsia="宋体" w:cs="Times New Roman"/>
                <w:sz w:val="24"/>
                <w:szCs w:val="20"/>
              </w:rPr>
              <w:t>.</w:t>
            </w:r>
            <w:r>
              <w:rPr>
                <w:rFonts w:hint="eastAsia" w:ascii="Times New Roman" w:hAnsi="Times New Roman" w:eastAsia="宋体" w:cs="Times New Roman"/>
                <w:sz w:val="24"/>
                <w:szCs w:val="20"/>
              </w:rPr>
              <w:t>ccgp</w:t>
            </w:r>
            <w:r>
              <w:rPr>
                <w:rFonts w:hint="eastAsia" w:ascii="宋体" w:hAnsi="宋体" w:eastAsia="宋体" w:cs="Times New Roman"/>
                <w:sz w:val="24"/>
                <w:szCs w:val="20"/>
              </w:rPr>
              <w:t>.</w:t>
            </w:r>
            <w:r>
              <w:rPr>
                <w:rFonts w:hint="eastAsia" w:ascii="Times New Roman" w:hAnsi="Times New Roman" w:eastAsia="宋体" w:cs="Times New Roman"/>
                <w:sz w:val="24"/>
                <w:szCs w:val="20"/>
              </w:rPr>
              <w:t>gov</w:t>
            </w:r>
            <w:r>
              <w:rPr>
                <w:rFonts w:hint="eastAsia" w:ascii="宋体" w:hAnsi="宋体" w:eastAsia="宋体" w:cs="Times New Roman"/>
                <w:sz w:val="24"/>
                <w:szCs w:val="20"/>
              </w:rPr>
              <w:t>.</w:t>
            </w:r>
            <w:r>
              <w:rPr>
                <w:rFonts w:hint="eastAsia" w:ascii="Times New Roman" w:hAnsi="Times New Roman" w:eastAsia="宋体" w:cs="Times New Roman"/>
                <w:sz w:val="24"/>
                <w:szCs w:val="20"/>
              </w:rPr>
              <w:t>cn</w:t>
            </w:r>
            <w:r>
              <w:rPr>
                <w:rFonts w:hint="eastAsia" w:ascii="宋体" w:hAnsi="宋体" w:eastAsia="宋体" w:cs="Times New Roman"/>
                <w:sz w:val="24"/>
                <w:szCs w:val="20"/>
              </w:rPr>
              <w:t>）查询供应商的信用记录，查询时间不早于本项目公告发布之日。对列入失信执行人、重大税收违法案件当事人名单、政府采购严重违法失信行为记录名单的供应商，其响应文件将被否决。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Times New Roman" w:hAnsi="Times New Roman" w:eastAsia="宋体" w:cs="Times New Roman"/>
                <w:sz w:val="24"/>
                <w:szCs w:val="20"/>
              </w:rPr>
              <w:t>10</w:t>
            </w:r>
            <w:r>
              <w:rPr>
                <w:rFonts w:ascii="宋体" w:hAnsi="宋体" w:eastAsia="宋体" w:cs="Times New Roman"/>
                <w:sz w:val="24"/>
                <w:szCs w:val="20"/>
              </w:rPr>
              <w:t>.</w:t>
            </w:r>
            <w:r>
              <w:rPr>
                <w:rFonts w:ascii="Times New Roman" w:hAnsi="Times New Roman" w:eastAsia="宋体" w:cs="Times New Roman"/>
                <w:sz w:val="24"/>
                <w:szCs w:val="20"/>
              </w:rPr>
              <w:t>3</w:t>
            </w:r>
          </w:p>
        </w:tc>
        <w:tc>
          <w:tcPr>
            <w:tcW w:w="4469"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供应商的竞争性谈判文件中未加注“★”号的一般技术参数的偏离超过</w:t>
            </w:r>
            <w:r>
              <w:rPr>
                <w:rFonts w:hint="eastAsia" w:ascii="Times New Roman" w:hAnsi="Times New Roman" w:eastAsia="宋体" w:cs="Times New Roman"/>
                <w:sz w:val="24"/>
                <w:szCs w:val="20"/>
              </w:rPr>
              <w:t>5</w:t>
            </w:r>
            <w:r>
              <w:rPr>
                <w:rFonts w:hint="eastAsia" w:ascii="宋体" w:hAnsi="宋体" w:eastAsia="宋体" w:cs="Times New Roman"/>
                <w:sz w:val="24"/>
                <w:szCs w:val="20"/>
              </w:rPr>
              <w:t>项（包括</w:t>
            </w:r>
            <w:r>
              <w:rPr>
                <w:rFonts w:hint="eastAsia" w:ascii="Times New Roman" w:hAnsi="Times New Roman" w:eastAsia="宋体" w:cs="Times New Roman"/>
                <w:sz w:val="24"/>
                <w:szCs w:val="20"/>
              </w:rPr>
              <w:t>5</w:t>
            </w:r>
            <w:r>
              <w:rPr>
                <w:rFonts w:hint="eastAsia" w:ascii="宋体" w:hAnsi="宋体" w:eastAsia="宋体" w:cs="Times New Roman"/>
                <w:sz w:val="24"/>
                <w:szCs w:val="20"/>
              </w:rPr>
              <w:t>项），其响应文件将被否决。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11</w:t>
            </w:r>
            <w:r>
              <w:rPr>
                <w:rFonts w:hint="eastAsia" w:ascii="宋体" w:hAnsi="宋体" w:eastAsia="宋体" w:cs="Times New Roman"/>
                <w:sz w:val="24"/>
                <w:szCs w:val="20"/>
              </w:rPr>
              <w:t>.</w:t>
            </w:r>
            <w:r>
              <w:rPr>
                <w:rFonts w:hint="eastAsia" w:ascii="Times New Roman" w:hAnsi="Times New Roman" w:eastAsia="宋体" w:cs="Times New Roman"/>
                <w:sz w:val="24"/>
                <w:szCs w:val="20"/>
              </w:rPr>
              <w:t>1</w:t>
            </w:r>
          </w:p>
        </w:tc>
        <w:tc>
          <w:tcPr>
            <w:tcW w:w="4469"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评审货币：人民币。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11</w:t>
            </w:r>
            <w:r>
              <w:rPr>
                <w:rFonts w:hint="eastAsia" w:ascii="宋体" w:hAnsi="宋体" w:eastAsia="宋体" w:cs="Times New Roman"/>
                <w:sz w:val="24"/>
                <w:szCs w:val="20"/>
              </w:rPr>
              <w:t>.</w:t>
            </w:r>
            <w:r>
              <w:rPr>
                <w:rFonts w:hint="eastAsia" w:ascii="Times New Roman" w:hAnsi="Times New Roman" w:eastAsia="宋体" w:cs="Times New Roman"/>
                <w:sz w:val="24"/>
                <w:szCs w:val="20"/>
              </w:rPr>
              <w:t>2</w:t>
            </w:r>
          </w:p>
        </w:tc>
        <w:tc>
          <w:tcPr>
            <w:tcW w:w="4469"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本竞争性谈判文件所涵盖的货物必须按第三章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中规定的合同交货期交货。对提前交货者不考虑降低评标价。对提交“推迟交货计划”的响应文件可以接受，但每延期一周其报价将在响应文件总价的基础上增加</w:t>
            </w:r>
            <w:r>
              <w:rPr>
                <w:rFonts w:ascii="Times New Roman" w:hAnsi="Times New Roman" w:eastAsia="宋体" w:cs="Times New Roman"/>
                <w:sz w:val="24"/>
                <w:szCs w:val="20"/>
              </w:rPr>
              <w:t>0</w:t>
            </w:r>
            <w:r>
              <w:rPr>
                <w:rFonts w:ascii="宋体" w:hAnsi="宋体" w:eastAsia="宋体" w:cs="Times New Roman"/>
                <w:sz w:val="24"/>
                <w:szCs w:val="20"/>
              </w:rPr>
              <w:t>.</w:t>
            </w:r>
            <w:r>
              <w:rPr>
                <w:rFonts w:hint="eastAsia" w:ascii="Times New Roman" w:hAnsi="Times New Roman"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w:t>
            </w:r>
            <w:r>
              <w:rPr>
                <w:rFonts w:hint="eastAsia" w:ascii="Times New Roman" w:hAnsi="Times New Roman" w:eastAsia="宋体" w:cs="Times New Roman"/>
                <w:sz w:val="24"/>
                <w:szCs w:val="20"/>
              </w:rPr>
              <w:t>1</w:t>
            </w:r>
            <w:r>
              <w:rPr>
                <w:rFonts w:hint="eastAsia" w:ascii="宋体" w:hAnsi="宋体" w:eastAsia="宋体" w:cs="Times New Roman"/>
                <w:sz w:val="24"/>
                <w:szCs w:val="20"/>
              </w:rPr>
              <w:t>个月交货的响应文件将被否决。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11</w:t>
            </w:r>
            <w:r>
              <w:rPr>
                <w:rFonts w:hint="eastAsia" w:ascii="宋体" w:hAnsi="宋体" w:eastAsia="宋体" w:cs="Times New Roman"/>
                <w:sz w:val="24"/>
                <w:szCs w:val="20"/>
              </w:rPr>
              <w:t>.</w:t>
            </w:r>
            <w:r>
              <w:rPr>
                <w:rFonts w:ascii="Times New Roman" w:hAnsi="Times New Roman" w:eastAsia="宋体" w:cs="Times New Roman"/>
                <w:sz w:val="24"/>
                <w:szCs w:val="20"/>
              </w:rPr>
              <w:t>3</w:t>
            </w:r>
          </w:p>
        </w:tc>
        <w:tc>
          <w:tcPr>
            <w:tcW w:w="4469"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供应商应在竞争性谈判响应文件中提供按照出厂标准供应的货物质保期内运行所需的易损件和备品备件，其费用需提供分项报价，并计入响应文件总价。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11</w:t>
            </w:r>
            <w:r>
              <w:rPr>
                <w:rFonts w:hint="eastAsia" w:ascii="宋体" w:hAnsi="宋体" w:eastAsia="宋体" w:cs="Times New Roman"/>
                <w:sz w:val="24"/>
                <w:szCs w:val="20"/>
              </w:rPr>
              <w:t>.</w:t>
            </w:r>
            <w:r>
              <w:rPr>
                <w:rFonts w:ascii="Times New Roman" w:hAnsi="Times New Roman" w:eastAsia="宋体" w:cs="Times New Roman"/>
                <w:sz w:val="24"/>
                <w:szCs w:val="20"/>
              </w:rPr>
              <w:t>4</w:t>
            </w:r>
          </w:p>
        </w:tc>
        <w:tc>
          <w:tcPr>
            <w:tcW w:w="4469"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中国关境内的备件供应和售后服务设施：详见第三章“货物需求一览表及技术规格”中的相应要求。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11</w:t>
            </w:r>
            <w:r>
              <w:rPr>
                <w:rFonts w:hint="eastAsia" w:ascii="宋体" w:hAnsi="宋体" w:eastAsia="宋体" w:cs="Times New Roman"/>
                <w:sz w:val="24"/>
                <w:szCs w:val="20"/>
              </w:rPr>
              <w:t>.</w:t>
            </w:r>
            <w:r>
              <w:rPr>
                <w:rFonts w:ascii="Times New Roman" w:hAnsi="Times New Roman" w:eastAsia="宋体" w:cs="Times New Roman"/>
                <w:sz w:val="24"/>
                <w:szCs w:val="20"/>
              </w:rPr>
              <w:t>5</w:t>
            </w:r>
          </w:p>
        </w:tc>
        <w:tc>
          <w:tcPr>
            <w:tcW w:w="4469"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11</w:t>
            </w:r>
            <w:r>
              <w:rPr>
                <w:rFonts w:hint="eastAsia" w:ascii="宋体" w:hAnsi="宋体" w:eastAsia="宋体" w:cs="Times New Roman"/>
                <w:sz w:val="24"/>
                <w:szCs w:val="20"/>
              </w:rPr>
              <w:t>.</w:t>
            </w:r>
            <w:r>
              <w:rPr>
                <w:rFonts w:ascii="Times New Roman" w:hAnsi="Times New Roman" w:eastAsia="宋体" w:cs="Times New Roman"/>
                <w:sz w:val="24"/>
                <w:szCs w:val="20"/>
              </w:rPr>
              <w:t>6</w:t>
            </w:r>
          </w:p>
        </w:tc>
        <w:tc>
          <w:tcPr>
            <w:tcW w:w="4469"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）竞争性谈判文件中加注“★”号的为重要条款（参数），对任一重要条款（参数）的偏离，其响应文件将被否决；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w:t>
            </w:r>
            <w:r>
              <w:rPr>
                <w:rFonts w:hint="eastAsia" w:ascii="Times New Roman" w:hAnsi="Times New Roman" w:eastAsia="宋体" w:cs="Times New Roman"/>
                <w:sz w:val="24"/>
                <w:szCs w:val="20"/>
              </w:rPr>
              <w:t>2</w:t>
            </w:r>
            <w:r>
              <w:rPr>
                <w:rFonts w:hint="eastAsia" w:ascii="宋体" w:hAnsi="宋体" w:eastAsia="宋体" w:cs="Times New Roman"/>
                <w:sz w:val="24"/>
                <w:szCs w:val="20"/>
              </w:rPr>
              <w:t>）竞争性谈判文件中未加注“★”号的为一般条款（参数），高于标准的，不考虑降低评标价，低于标准的，评标价将增加该产品响应文件价格的百分之壹（</w:t>
            </w:r>
            <w:r>
              <w:rPr>
                <w:rFonts w:hint="eastAsia" w:ascii="Times New Roman" w:hAnsi="Times New Roman" w:eastAsia="宋体" w:cs="Times New Roman"/>
                <w:sz w:val="24"/>
                <w:szCs w:val="20"/>
              </w:rPr>
              <w:t>1</w:t>
            </w:r>
            <w:r>
              <w:rPr>
                <w:rFonts w:ascii="宋体" w:hAnsi="宋体" w:eastAsia="宋体" w:cs="Times New Roman"/>
                <w:sz w:val="24"/>
                <w:szCs w:val="20"/>
              </w:rPr>
              <w:t>%</w:t>
            </w:r>
            <w:r>
              <w:rPr>
                <w:rFonts w:hint="eastAsia" w:ascii="宋体" w:hAnsi="宋体" w:eastAsia="宋体" w:cs="Times New Roman"/>
                <w:sz w:val="24"/>
                <w:szCs w:val="20"/>
              </w:rPr>
              <w:t>）（特别注明的除外）；若响应文件中没有单独列出该产品分项报价的，评审价格调整时按响应文件总价计算。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12</w:t>
            </w:r>
            <w:r>
              <w:rPr>
                <w:rFonts w:hint="eastAsia" w:ascii="宋体" w:hAnsi="宋体" w:eastAsia="宋体" w:cs="Times New Roman"/>
                <w:sz w:val="24"/>
                <w:szCs w:val="20"/>
              </w:rPr>
              <w:t>．1</w:t>
            </w:r>
          </w:p>
        </w:tc>
        <w:tc>
          <w:tcPr>
            <w:tcW w:w="4469" w:type="pct"/>
            <w:vAlign w:val="center"/>
          </w:tcPr>
          <w:p>
            <w:pPr>
              <w:pStyle w:val="18"/>
              <w:adjustRightInd w:val="0"/>
              <w:snapToGrid w:val="0"/>
              <w:spacing w:line="360" w:lineRule="auto"/>
              <w:textAlignment w:val="center"/>
              <w:rPr>
                <w:rFonts w:asciiTheme="minorEastAsia" w:hAnsiTheme="minorEastAsia" w:eastAsiaTheme="minorEastAsia"/>
                <w:sz w:val="24"/>
              </w:rPr>
            </w:pPr>
            <w:r>
              <w:rPr>
                <w:rFonts w:hint="eastAsia" w:hAnsi="宋体"/>
                <w:sz w:val="24"/>
              </w:rPr>
              <w:t>评审方法：所有谈判和最后报价结束后，由谈判小组从质量和服务均能满足采购文件实质性要求的供应商中，按照最后报价由低到高的顺序推荐成交候选供应商。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2.2</w:t>
            </w:r>
          </w:p>
        </w:tc>
        <w:tc>
          <w:tcPr>
            <w:tcW w:w="4469"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谈判小组：</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（1）本项目评审工作由谈判小组负责，谈判小组由3人以上单数组成。</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（2）谈判小组成员应坚持客观、公正、审慎的原则，依据响应文件对谈判文件响应情况、响应文件编制情况等，进行综合、科学、客观评审。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val="0"/>
                <w:bCs/>
                <w:sz w:val="24"/>
                <w:szCs w:val="20"/>
              </w:rPr>
              <w:t>1</w:t>
            </w:r>
            <w:r>
              <w:rPr>
                <w:rFonts w:ascii="宋体" w:hAnsi="宋体" w:eastAsia="宋体" w:cs="Times New Roman"/>
                <w:b w:val="0"/>
                <w:bCs/>
                <w:sz w:val="24"/>
                <w:szCs w:val="20"/>
              </w:rPr>
              <w:t>2.3</w:t>
            </w:r>
          </w:p>
        </w:tc>
        <w:tc>
          <w:tcPr>
            <w:tcW w:w="4469" w:type="pct"/>
            <w:vAlign w:val="center"/>
          </w:tcPr>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评审程序：</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（3）采购代理机构将按照谈判小组所确定的参加谈判的供应商名单以及谈判时间和谈判顺序安排，组织逐一与供应商进行谈判，未按要求参加的，视为放弃本项目谈判，并不再接受其最后报价。</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（4）请参加谈判的供应商事先做好时间安排和谈判准备，根据通知的安排，携带有关谈判资料准时参加谈判。</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（5）谈判结束后，供应商应根据谈判中确定的内容和时间要求提交最终响应文件（包括最后报价）。</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（6）所有谈判和最后报价结束后，由谈判小组从质量和服务均能满足采购文件实质性要求的供应商中，按照最后报价由低到高的顺序推荐成交候选供应商。</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（7）最后报价相同的，由谈判小组按照少数服从多数原则表决。根据规定,采购人按照成交候选人排名顺序确定成交供应商。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1</w:t>
            </w:r>
            <w:r>
              <w:rPr>
                <w:rFonts w:ascii="宋体" w:hAnsi="宋体" w:eastAsia="宋体" w:cs="Times New Roman"/>
                <w:b/>
                <w:sz w:val="24"/>
                <w:szCs w:val="20"/>
              </w:rPr>
              <w:t>2.4</w:t>
            </w:r>
          </w:p>
        </w:tc>
        <w:tc>
          <w:tcPr>
            <w:tcW w:w="4469" w:type="pct"/>
            <w:vAlign w:val="center"/>
          </w:tcPr>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评审细则：</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pPr>
              <w:adjustRightInd w:val="0"/>
              <w:snapToGrid w:val="0"/>
              <w:spacing w:line="360" w:lineRule="auto"/>
              <w:textAlignment w:val="center"/>
              <w:rPr>
                <w:rFonts w:ascii="宋体" w:hAnsi="宋体" w:eastAsia="宋体" w:cs="Times New Roman"/>
                <w:sz w:val="24"/>
                <w:szCs w:val="20"/>
              </w:rPr>
            </w:pPr>
            <w:r>
              <w:rPr>
                <w:rFonts w:hint="eastAsia" w:ascii="宋体" w:hAnsi="宋体" w:eastAsia="宋体" w:cs="Times New Roman"/>
                <w:sz w:val="24"/>
                <w:szCs w:val="20"/>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1" w:type="pct"/>
            <w:vAlign w:val="center"/>
          </w:tcPr>
          <w:p>
            <w:pPr>
              <w:spacing w:line="360" w:lineRule="auto"/>
              <w:jc w:val="center"/>
              <w:rPr>
                <w:rFonts w:ascii="宋体" w:hAnsi="宋体" w:eastAsia="宋体" w:cs="Times New Roman"/>
                <w:sz w:val="24"/>
                <w:szCs w:val="20"/>
              </w:rPr>
            </w:pPr>
            <w:r>
              <w:rPr>
                <w:rFonts w:ascii="Times New Roman" w:hAnsi="Times New Roman" w:eastAsia="宋体" w:cs="Times New Roman"/>
                <w:sz w:val="24"/>
                <w:szCs w:val="20"/>
              </w:rPr>
              <w:t>12</w:t>
            </w:r>
          </w:p>
        </w:tc>
        <w:tc>
          <w:tcPr>
            <w:tcW w:w="4469" w:type="pct"/>
            <w:vAlign w:val="center"/>
          </w:tcPr>
          <w:p>
            <w:pPr>
              <w:pStyle w:val="18"/>
              <w:adjustRightInd w:val="0"/>
              <w:snapToGrid w:val="0"/>
              <w:spacing w:line="360" w:lineRule="auto"/>
              <w:textAlignment w:val="center"/>
              <w:rPr>
                <w:rFonts w:hAnsi="宋体"/>
                <w:sz w:val="24"/>
              </w:rPr>
            </w:pPr>
            <w:r>
              <w:rPr>
                <w:rFonts w:hint="eastAsia" w:hAnsi="宋体"/>
                <w:sz w:val="24"/>
              </w:rPr>
              <w:t>中选供应商的确定：按照最后报价由低到高的顺序推荐成交候选供应商。最后报价相同的，由谈判小组按照少数服从多数原则表决。根据规定,采购人按照成交候选人排名顺序确定成交供应商。</w:t>
            </w:r>
          </w:p>
        </w:tc>
      </w:tr>
    </w:tbl>
    <w:p>
      <w:pPr>
        <w:keepNext/>
        <w:keepLines/>
        <w:spacing w:after="260" w:line="360" w:lineRule="auto"/>
        <w:outlineLvl w:val="0"/>
        <w:rPr>
          <w:rFonts w:ascii="Times New Roman" w:hAnsi="Times New Roman" w:eastAsia="宋体" w:cs="Times New Roman"/>
          <w:b/>
          <w:kern w:val="44"/>
          <w:sz w:val="36"/>
          <w:szCs w:val="20"/>
        </w:rPr>
      </w:pPr>
      <w:bookmarkStart w:id="12" w:name="_Toc9066360"/>
      <w:bookmarkStart w:id="13" w:name="_Toc11326094"/>
    </w:p>
    <w:p>
      <w:pPr>
        <w:widowControl/>
        <w:jc w:val="left"/>
        <w:rPr>
          <w:rFonts w:ascii="Times New Roman" w:hAnsi="Times New Roman" w:eastAsia="宋体" w:cs="Times New Roman"/>
          <w:b/>
          <w:kern w:val="44"/>
          <w:sz w:val="36"/>
          <w:szCs w:val="20"/>
        </w:rPr>
      </w:pPr>
    </w:p>
    <w:p>
      <w:pPr>
        <w:widowControl/>
        <w:jc w:val="left"/>
        <w:rPr>
          <w:rFonts w:ascii="Times New Roman" w:hAnsi="Times New Roman" w:eastAsia="宋体" w:cs="Times New Roman"/>
          <w:b/>
          <w:kern w:val="44"/>
          <w:sz w:val="36"/>
          <w:szCs w:val="20"/>
        </w:rPr>
      </w:pPr>
    </w:p>
    <w:p>
      <w:pPr>
        <w:widowControl/>
        <w:jc w:val="left"/>
        <w:rPr>
          <w:rFonts w:ascii="Times New Roman" w:hAnsi="Times New Roman" w:eastAsia="宋体" w:cs="Times New Roman"/>
          <w:b/>
          <w:kern w:val="44"/>
          <w:sz w:val="36"/>
          <w:szCs w:val="20"/>
        </w:rPr>
      </w:pPr>
    </w:p>
    <w:p>
      <w:pPr>
        <w:widowControl/>
        <w:jc w:val="left"/>
        <w:rPr>
          <w:rFonts w:ascii="Times New Roman" w:hAnsi="Times New Roman" w:eastAsia="宋体" w:cs="Times New Roman"/>
          <w:b/>
          <w:kern w:val="44"/>
          <w:sz w:val="36"/>
          <w:szCs w:val="20"/>
        </w:rPr>
      </w:pPr>
    </w:p>
    <w:p>
      <w:pPr>
        <w:widowControl/>
        <w:jc w:val="left"/>
        <w:rPr>
          <w:rFonts w:ascii="Times New Roman" w:hAnsi="Times New Roman" w:eastAsia="宋体" w:cs="Times New Roman"/>
          <w:b/>
          <w:kern w:val="44"/>
          <w:sz w:val="36"/>
          <w:szCs w:val="20"/>
        </w:rPr>
      </w:pPr>
    </w:p>
    <w:p>
      <w:pPr>
        <w:widowControl/>
        <w:jc w:val="left"/>
        <w:rPr>
          <w:rFonts w:ascii="Times New Roman" w:hAnsi="Times New Roman" w:eastAsia="宋体" w:cs="Times New Roman"/>
          <w:b/>
          <w:kern w:val="44"/>
          <w:sz w:val="36"/>
          <w:szCs w:val="20"/>
        </w:rPr>
      </w:pPr>
    </w:p>
    <w:p>
      <w:pPr>
        <w:widowControl/>
        <w:jc w:val="center"/>
        <w:rPr>
          <w:rFonts w:ascii="Times New Roman" w:hAnsi="Times New Roman" w:eastAsia="宋体" w:cs="Times New Roman"/>
          <w:b/>
          <w:kern w:val="44"/>
          <w:sz w:val="36"/>
          <w:szCs w:val="20"/>
        </w:rPr>
      </w:pPr>
    </w:p>
    <w:p>
      <w:pPr>
        <w:keepNext/>
        <w:keepLines/>
        <w:spacing w:after="260" w:line="360" w:lineRule="auto"/>
        <w:jc w:val="center"/>
        <w:outlineLvl w:val="0"/>
        <w:rPr>
          <w:rFonts w:ascii="Times New Roman" w:hAnsi="Times New Roman" w:eastAsia="宋体" w:cs="Times New Roman"/>
          <w:b/>
          <w:kern w:val="44"/>
          <w:sz w:val="36"/>
          <w:szCs w:val="20"/>
        </w:rPr>
      </w:pPr>
      <w:r>
        <w:rPr>
          <w:rFonts w:hint="eastAsia" w:ascii="Times New Roman" w:hAnsi="Times New Roman" w:eastAsia="宋体" w:cs="Times New Roman"/>
          <w:b/>
          <w:kern w:val="44"/>
          <w:sz w:val="36"/>
          <w:szCs w:val="20"/>
        </w:rPr>
        <w:t>第三章  货物需求一览表及技术参数</w:t>
      </w:r>
    </w:p>
    <w:p>
      <w:pPr>
        <w:rPr>
          <w:rFonts w:hint="default" w:eastAsia="宋体"/>
          <w:lang w:val="en-US" w:eastAsia="zh-CN"/>
        </w:rPr>
      </w:pPr>
      <w:r>
        <w:rPr>
          <w:rFonts w:hint="eastAsia" w:ascii="Times New Roman" w:hAnsi="Times New Roman" w:eastAsia="宋体" w:cs="宋体"/>
          <w:color w:val="000000" w:themeColor="text1"/>
          <w:sz w:val="24"/>
          <w:szCs w:val="24"/>
        </w:rPr>
        <w:t>（一）</w:t>
      </w:r>
      <w:r>
        <w:rPr>
          <w:rFonts w:hint="eastAsia" w:ascii="Times New Roman" w:hAnsi="Times New Roman" w:eastAsia="宋体" w:cs="宋体"/>
          <w:color w:val="000000" w:themeColor="text1"/>
          <w:sz w:val="24"/>
          <w:szCs w:val="24"/>
          <w:lang w:val="en-US" w:eastAsia="zh-CN"/>
        </w:rPr>
        <w:t>抗菌医用敷料</w:t>
      </w:r>
    </w:p>
    <w:tbl>
      <w:tblPr>
        <w:tblStyle w:val="31"/>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43"/>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jc w:val="center"/>
        </w:trPr>
        <w:tc>
          <w:tcPr>
            <w:tcW w:w="947" w:type="dxa"/>
            <w:vAlign w:val="center"/>
          </w:tcPr>
          <w:p>
            <w:pPr>
              <w:snapToGrid w:val="0"/>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序号</w:t>
            </w:r>
          </w:p>
        </w:tc>
        <w:tc>
          <w:tcPr>
            <w:tcW w:w="1843" w:type="dxa"/>
            <w:vAlign w:val="center"/>
          </w:tcPr>
          <w:p>
            <w:pPr>
              <w:snapToGrid w:val="0"/>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名称</w:t>
            </w:r>
          </w:p>
        </w:tc>
        <w:tc>
          <w:tcPr>
            <w:tcW w:w="6487" w:type="dxa"/>
            <w:vAlign w:val="center"/>
          </w:tcPr>
          <w:p>
            <w:pPr>
              <w:snapToGrid w:val="0"/>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7" w:type="dxa"/>
            <w:vAlign w:val="center"/>
          </w:tcPr>
          <w:p>
            <w:pPr>
              <w:snapToGrid w:val="0"/>
              <w:jc w:val="distribute"/>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1</w:t>
            </w:r>
          </w:p>
        </w:tc>
        <w:tc>
          <w:tcPr>
            <w:tcW w:w="1843"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货物名称</w:t>
            </w:r>
          </w:p>
        </w:tc>
        <w:tc>
          <w:tcPr>
            <w:tcW w:w="6487" w:type="dxa"/>
            <w:vAlign w:val="center"/>
          </w:tcPr>
          <w:p>
            <w:pPr>
              <w:tabs>
                <w:tab w:val="left" w:pos="1236"/>
              </w:tabs>
              <w:spacing w:line="360" w:lineRule="auto"/>
              <w:jc w:val="both"/>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抗菌医用敷料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jc w:val="distribute"/>
              <w:textAlignment w:val="baseline"/>
              <w:rPr>
                <w:rFonts w:hint="eastAsia"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2</w:t>
            </w:r>
          </w:p>
        </w:tc>
        <w:tc>
          <w:tcPr>
            <w:tcW w:w="1843"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性能</w:t>
            </w:r>
          </w:p>
        </w:tc>
        <w:tc>
          <w:tcPr>
            <w:tcW w:w="6487" w:type="dxa"/>
            <w:vAlign w:val="center"/>
          </w:tcPr>
          <w:p>
            <w:pPr>
              <w:widowControl/>
              <w:spacing w:line="360" w:lineRule="auto"/>
              <w:jc w:val="left"/>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1.广谱杀菌、抗杀耐药菌。</w:t>
            </w:r>
          </w:p>
          <w:p>
            <w:pPr>
              <w:widowControl/>
              <w:spacing w:line="360" w:lineRule="auto"/>
              <w:jc w:val="left"/>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2.产品具有亲水性，遇水杀菌能力更强。</w:t>
            </w:r>
          </w:p>
          <w:p>
            <w:pPr>
              <w:widowControl/>
              <w:spacing w:line="360" w:lineRule="auto"/>
              <w:jc w:val="left"/>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3.疗效时间长，减少换药次数，缩短治疗周期。</w:t>
            </w:r>
          </w:p>
          <w:p>
            <w:pPr>
              <w:widowControl/>
              <w:spacing w:line="360" w:lineRule="auto"/>
              <w:jc w:val="left"/>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4.产品安全有效，无任何毒副作用。</w:t>
            </w:r>
          </w:p>
          <w:p>
            <w:pPr>
              <w:widowControl/>
              <w:spacing w:line="360" w:lineRule="auto"/>
              <w:jc w:val="left"/>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5.治疗伤口方法简单，不用涂任何药，清创后直接覆盖伤口。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jc w:val="distribute"/>
              <w:textAlignment w:val="baseline"/>
              <w:rPr>
                <w:rFonts w:hint="eastAsia"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3</w:t>
            </w:r>
          </w:p>
        </w:tc>
        <w:tc>
          <w:tcPr>
            <w:tcW w:w="1843"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原理</w:t>
            </w:r>
          </w:p>
        </w:tc>
        <w:tc>
          <w:tcPr>
            <w:tcW w:w="6487" w:type="dxa"/>
            <w:vAlign w:val="center"/>
          </w:tcPr>
          <w:p>
            <w:pPr>
              <w:widowControl/>
              <w:spacing w:line="360" w:lineRule="auto"/>
              <w:jc w:val="left"/>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通过产品释放的银离子与细菌的代谢酶结合，使细菌失活。通过银离子的缓慢释放，使产品具有持久、长效的抗菌、杀菌能力。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Align w:val="center"/>
          </w:tcPr>
          <w:p>
            <w:pPr>
              <w:snapToGrid w:val="0"/>
              <w:jc w:val="distribute"/>
              <w:textAlignment w:val="baseline"/>
              <w:rPr>
                <w:rFonts w:hint="eastAsia"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4</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规格</w:t>
            </w:r>
          </w:p>
        </w:tc>
        <w:tc>
          <w:tcPr>
            <w:tcW w:w="6487" w:type="dxa"/>
            <w:vAlign w:val="center"/>
          </w:tcPr>
          <w:p>
            <w:pPr>
              <w:spacing w:line="360" w:lineRule="auto"/>
              <w:textAlignment w:val="baseline"/>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themeColor="text1"/>
                <w:sz w:val="24"/>
                <w:szCs w:val="24"/>
              </w:rPr>
              <w:t>自粘型5.5*7.5cm</w:t>
            </w:r>
            <w:r>
              <w:rPr>
                <w:rFonts w:hint="eastAsia" w:ascii="Times New Roman" w:hAnsi="Times New Roman" w:eastAsia="宋体" w:cs="宋体"/>
                <w:color w:val="000000" w:themeColor="text1"/>
                <w:sz w:val="24"/>
                <w:szCs w:val="24"/>
                <w:lang w:eastAsia="zh-CN"/>
              </w:rPr>
              <w:t>，非自粘型10*15cm（油性）（</w:t>
            </w:r>
            <w:r>
              <w:rPr>
                <w:rFonts w:hint="eastAsia" w:ascii="Times New Roman" w:hAnsi="Times New Roman" w:eastAsia="宋体" w:cs="宋体"/>
                <w:color w:val="000000" w:themeColor="text1"/>
                <w:sz w:val="24"/>
                <w:szCs w:val="24"/>
                <w:lang w:val="en-US" w:eastAsia="zh-CN"/>
              </w:rPr>
              <w:t>干性</w:t>
            </w:r>
            <w:r>
              <w:rPr>
                <w:rFonts w:hint="eastAsia" w:ascii="Times New Roman" w:hAnsi="Times New Roman" w:eastAsia="宋体" w:cs="宋体"/>
                <w:color w:val="000000" w:themeColor="text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Align w:val="center"/>
          </w:tcPr>
          <w:p>
            <w:pPr>
              <w:snapToGrid w:val="0"/>
              <w:jc w:val="distribute"/>
              <w:textAlignment w:val="baseline"/>
              <w:rPr>
                <w:rFonts w:hint="eastAsia"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5</w:t>
            </w:r>
          </w:p>
        </w:tc>
        <w:tc>
          <w:tcPr>
            <w:tcW w:w="1843"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结构组成</w:t>
            </w:r>
          </w:p>
        </w:tc>
        <w:tc>
          <w:tcPr>
            <w:tcW w:w="6487" w:type="dxa"/>
            <w:vAlign w:val="center"/>
          </w:tcPr>
          <w:p>
            <w:pPr>
              <w:numPr>
                <w:ilvl w:val="0"/>
                <w:numId w:val="0"/>
              </w:numPr>
              <w:spacing w:line="360" w:lineRule="auto"/>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lang w:val="en-US" w:eastAsia="zh-CN"/>
              </w:rPr>
              <w:t>1、非自粘型：</w:t>
            </w:r>
            <w:r>
              <w:rPr>
                <w:rFonts w:hint="eastAsia" w:ascii="Times New Roman" w:hAnsi="Times New Roman" w:eastAsia="宋体" w:cs="宋体"/>
                <w:color w:val="000000" w:themeColor="text1"/>
                <w:sz w:val="24"/>
                <w:szCs w:val="24"/>
              </w:rPr>
              <w:t>将纳米银牢固附着于医用脱脂纱布。分为干性和油性两种，油性含凡士林，可用防粘纸或隔离膜保护。</w:t>
            </w:r>
          </w:p>
          <w:p>
            <w:pPr>
              <w:numPr>
                <w:ilvl w:val="0"/>
                <w:numId w:val="0"/>
              </w:numPr>
              <w:spacing w:line="360" w:lineRule="auto"/>
              <w:textAlignment w:val="baseline"/>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themeColor="text1"/>
                <w:sz w:val="24"/>
                <w:szCs w:val="24"/>
                <w:lang w:val="en-US" w:eastAsia="zh-CN"/>
              </w:rPr>
              <w:t>2、</w:t>
            </w:r>
            <w:r>
              <w:rPr>
                <w:rFonts w:hint="eastAsia" w:ascii="Times New Roman" w:hAnsi="Times New Roman" w:eastAsia="宋体" w:cs="宋体"/>
                <w:color w:val="000000" w:themeColor="text1"/>
                <w:sz w:val="24"/>
                <w:szCs w:val="24"/>
              </w:rPr>
              <w:t>自粘型</w:t>
            </w:r>
            <w:r>
              <w:rPr>
                <w:rFonts w:hint="eastAsia" w:ascii="Times New Roman" w:hAnsi="Times New Roman" w:eastAsia="宋体" w:cs="宋体"/>
                <w:color w:val="000000" w:themeColor="text1"/>
                <w:sz w:val="24"/>
                <w:szCs w:val="24"/>
                <w:lang w:eastAsia="zh-CN"/>
              </w:rPr>
              <w:t>：由抗菌层 、极湿层、自粘层、隔离层组成。抗</w:t>
            </w:r>
            <w:r>
              <w:rPr>
                <w:rFonts w:hint="eastAsia" w:ascii="Times New Roman" w:hAnsi="Times New Roman" w:eastAsia="宋体" w:cs="宋体"/>
                <w:color w:val="000000" w:themeColor="text1"/>
                <w:sz w:val="24"/>
                <w:szCs w:val="24"/>
                <w:lang w:val="en-US" w:eastAsia="zh-CN"/>
              </w:rPr>
              <w:t>菌</w:t>
            </w:r>
            <w:r>
              <w:rPr>
                <w:rFonts w:hint="eastAsia" w:ascii="Times New Roman" w:hAnsi="Times New Roman" w:eastAsia="宋体" w:cs="宋体"/>
                <w:color w:val="000000" w:themeColor="text1"/>
                <w:sz w:val="24"/>
                <w:szCs w:val="24"/>
                <w:lang w:eastAsia="zh-CN"/>
              </w:rPr>
              <w:t>层是将纳米银牢固附着于医用脱脂纱布或棉纤维非织造布；吸湿层采用棉纤维非织造布；自粘层为医用胶带；隔离层采用防粘纸或隔离膜。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Align w:val="center"/>
          </w:tcPr>
          <w:p>
            <w:pPr>
              <w:snapToGrid w:val="0"/>
              <w:jc w:val="distribute"/>
              <w:textAlignment w:val="baseline"/>
              <w:rPr>
                <w:rFonts w:hint="eastAsia"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6</w:t>
            </w:r>
          </w:p>
        </w:tc>
        <w:tc>
          <w:tcPr>
            <w:tcW w:w="1843"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使用范围</w:t>
            </w:r>
          </w:p>
        </w:tc>
        <w:tc>
          <w:tcPr>
            <w:tcW w:w="6487" w:type="dxa"/>
            <w:vAlign w:val="center"/>
          </w:tcPr>
          <w:p>
            <w:pPr>
              <w:snapToGrid w:val="0"/>
              <w:spacing w:line="360" w:lineRule="auto"/>
              <w:jc w:val="left"/>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适用于烧烫伤创面、供皮区创面;慢性感染性伤口，如糖尿病溃疡伤口、压疮、静脉性溃疡、创伤和术后慢性感染伤口。纳米银起到减少创面感染的辅助作用。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7" w:type="dxa"/>
            <w:vAlign w:val="center"/>
          </w:tcPr>
          <w:p>
            <w:pPr>
              <w:snapToGrid w:val="0"/>
              <w:jc w:val="center"/>
              <w:textAlignment w:val="baseline"/>
              <w:rPr>
                <w:rFonts w:hint="eastAsia"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7</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注意事项</w:t>
            </w:r>
          </w:p>
        </w:tc>
        <w:tc>
          <w:tcPr>
            <w:tcW w:w="6487" w:type="dxa"/>
            <w:vAlign w:val="center"/>
          </w:tcPr>
          <w:p>
            <w:pPr>
              <w:spacing w:line="360" w:lineRule="auto"/>
              <w:jc w:val="left"/>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1、对本产品的任何成分过敏者禁用，孕妇、哺乳期妇女、新生儿、婴幼儿禁用。</w:t>
            </w:r>
          </w:p>
          <w:p>
            <w:pPr>
              <w:spacing w:line="360" w:lineRule="auto"/>
              <w:jc w:val="left"/>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2、不能替代全身抗生素的使用。</w:t>
            </w:r>
          </w:p>
          <w:p>
            <w:pPr>
              <w:spacing w:line="360" w:lineRule="auto"/>
              <w:jc w:val="left"/>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3、产品使用必须符合医疗部门相关操作规范及相关法律的要求，仅限于经培训的医生或护理人员使用。</w:t>
            </w:r>
          </w:p>
          <w:p>
            <w:pPr>
              <w:spacing w:line="360" w:lineRule="auto"/>
              <w:jc w:val="left"/>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4、企业未针对人体最大限制使用面积及累计使用时间进行相关研究。</w:t>
            </w:r>
          </w:p>
          <w:p>
            <w:pPr>
              <w:spacing w:line="360" w:lineRule="auto"/>
              <w:jc w:val="left"/>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5、临床医生应关注产品对人体的局部毒性和全身毒性，必要时需监测血银、尿银水平并进行血液学相关检查，关注对肝、肾的副作用。</w:t>
            </w:r>
          </w:p>
          <w:p>
            <w:pPr>
              <w:spacing w:line="360" w:lineRule="auto"/>
              <w:jc w:val="left"/>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6、对于严重感染创面、坏死组织多的创面不宜用该产品。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7" w:type="dxa"/>
            <w:vAlign w:val="center"/>
          </w:tcPr>
          <w:p>
            <w:pPr>
              <w:snapToGrid w:val="0"/>
              <w:jc w:val="center"/>
              <w:textAlignment w:val="baseline"/>
              <w:rPr>
                <w:rFonts w:hint="eastAsia"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8</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贮藏</w:t>
            </w:r>
          </w:p>
        </w:tc>
        <w:tc>
          <w:tcPr>
            <w:tcW w:w="6487" w:type="dxa"/>
            <w:vAlign w:val="center"/>
          </w:tcPr>
          <w:p>
            <w:pPr>
              <w:spacing w:line="360" w:lineRule="auto"/>
              <w:jc w:val="left"/>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避光</w:t>
            </w:r>
          </w:p>
        </w:tc>
      </w:tr>
    </w:tbl>
    <w:p>
      <w:pPr>
        <w:spacing w:after="120"/>
        <w:rPr>
          <w:rFonts w:ascii="Times New Roman" w:hAnsi="Times New Roman" w:eastAsia="宋体" w:cs="宋体"/>
          <w:color w:val="000000" w:themeColor="text1"/>
          <w:sz w:val="24"/>
          <w:szCs w:val="24"/>
        </w:rPr>
      </w:pPr>
    </w:p>
    <w:p>
      <w:pPr>
        <w:spacing w:after="120"/>
        <w:rPr>
          <w:rFonts w:ascii="Times New Roman" w:hAnsi="Times New Roman" w:eastAsia="宋体" w:cs="宋体"/>
          <w:color w:val="000000" w:themeColor="text1"/>
          <w:sz w:val="24"/>
          <w:szCs w:val="24"/>
        </w:rPr>
      </w:pPr>
    </w:p>
    <w:p>
      <w:pPr>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rPr>
        <w:t>（二）</w:t>
      </w:r>
      <w:r>
        <w:rPr>
          <w:rFonts w:hint="eastAsia" w:ascii="Times New Roman" w:hAnsi="Times New Roman" w:eastAsia="宋体" w:cs="宋体"/>
          <w:color w:val="000000" w:themeColor="text1"/>
          <w:sz w:val="24"/>
          <w:szCs w:val="24"/>
          <w:lang w:val="en-US" w:eastAsia="zh-CN"/>
        </w:rPr>
        <w:t>连接管</w:t>
      </w:r>
    </w:p>
    <w:tbl>
      <w:tblPr>
        <w:tblStyle w:val="31"/>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43"/>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47"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序号</w:t>
            </w:r>
          </w:p>
        </w:tc>
        <w:tc>
          <w:tcPr>
            <w:tcW w:w="1843"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名称</w:t>
            </w:r>
          </w:p>
        </w:tc>
        <w:tc>
          <w:tcPr>
            <w:tcW w:w="6487"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1</w:t>
            </w:r>
          </w:p>
        </w:tc>
        <w:tc>
          <w:tcPr>
            <w:tcW w:w="1843"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货物名称</w:t>
            </w:r>
          </w:p>
        </w:tc>
        <w:tc>
          <w:tcPr>
            <w:tcW w:w="6487" w:type="dxa"/>
            <w:vAlign w:val="center"/>
          </w:tcPr>
          <w:p>
            <w:pPr>
              <w:spacing w:line="360" w:lineRule="auto"/>
              <w:textAlignment w:val="baseline"/>
              <w:rPr>
                <w:rFonts w:hint="eastAsia"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连接管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2</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themeColor="text1"/>
                <w:sz w:val="24"/>
                <w:szCs w:val="24"/>
                <w:lang w:val="en-US" w:eastAsia="zh-CN"/>
              </w:rPr>
              <w:t>型号</w:t>
            </w:r>
          </w:p>
        </w:tc>
        <w:tc>
          <w:tcPr>
            <w:tcW w:w="6487" w:type="dxa"/>
            <w:vAlign w:val="center"/>
          </w:tcPr>
          <w:p>
            <w:pPr>
              <w:snapToGrid w:val="0"/>
              <w:spacing w:line="360" w:lineRule="auto"/>
              <w:jc w:val="left"/>
              <w:textAlignment w:val="baseline"/>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themeColor="text1"/>
                <w:sz w:val="24"/>
                <w:szCs w:val="24"/>
              </w:rPr>
              <w:t>标准型</w:t>
            </w:r>
            <w:r>
              <w:rPr>
                <w:rFonts w:hint="eastAsia" w:ascii="Times New Roman" w:hAnsi="Times New Roman" w:eastAsia="宋体" w:cs="宋体"/>
                <w:color w:val="000000" w:themeColor="text1"/>
                <w:sz w:val="24"/>
                <w:szCs w:val="24"/>
                <w:lang w:eastAsia="zh-CN"/>
              </w:rPr>
              <w:t>、Y型、盘绕行、三叉型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3</w:t>
            </w:r>
          </w:p>
        </w:tc>
        <w:tc>
          <w:tcPr>
            <w:tcW w:w="1843" w:type="dxa"/>
            <w:vAlign w:val="center"/>
          </w:tcPr>
          <w:p>
            <w:pPr>
              <w:snapToGrid w:val="0"/>
              <w:spacing w:line="360" w:lineRule="auto"/>
              <w:jc w:val="center"/>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产品组成</w:t>
            </w:r>
          </w:p>
        </w:tc>
        <w:tc>
          <w:tcPr>
            <w:tcW w:w="6487" w:type="dxa"/>
            <w:vAlign w:val="center"/>
          </w:tcPr>
          <w:p>
            <w:pPr>
              <w:snapToGrid w:val="0"/>
              <w:spacing w:line="360" w:lineRule="auto"/>
              <w:jc w:val="left"/>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一次性使用连接管由聚氨乙烯制成，由护帽、内圆锥接头、导管、外圆锥接头、Y型接头、三叉接头、三通接头、医用三通阀、止血夹、护套组成。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4</w:t>
            </w:r>
          </w:p>
        </w:tc>
        <w:tc>
          <w:tcPr>
            <w:tcW w:w="1843" w:type="dxa"/>
            <w:vAlign w:val="center"/>
          </w:tcPr>
          <w:p>
            <w:pPr>
              <w:snapToGrid w:val="0"/>
              <w:spacing w:line="360" w:lineRule="auto"/>
              <w:jc w:val="center"/>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适用范围</w:t>
            </w:r>
          </w:p>
        </w:tc>
        <w:tc>
          <w:tcPr>
            <w:tcW w:w="6487" w:type="dxa"/>
            <w:vAlign w:val="center"/>
          </w:tcPr>
          <w:p>
            <w:pPr>
              <w:snapToGrid w:val="0"/>
              <w:spacing w:line="360" w:lineRule="auto"/>
              <w:jc w:val="left"/>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临床适用的输液管道加长、连接输液三通、以及连接输液用治疗仪器的管路。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themeColor="text1"/>
                <w:sz w:val="24"/>
                <w:szCs w:val="24"/>
                <w:lang w:val="en-US" w:eastAsia="zh-CN"/>
              </w:rPr>
              <w:t>5</w:t>
            </w:r>
          </w:p>
        </w:tc>
        <w:tc>
          <w:tcPr>
            <w:tcW w:w="1843" w:type="dxa"/>
            <w:vAlign w:val="center"/>
          </w:tcPr>
          <w:p>
            <w:pPr>
              <w:snapToGrid w:val="0"/>
              <w:spacing w:line="360" w:lineRule="auto"/>
              <w:jc w:val="center"/>
              <w:textAlignment w:val="baseline"/>
              <w:rPr>
                <w:rFonts w:hint="default" w:ascii="Times New Roman" w:hAnsi="Times New Roman" w:eastAsia="宋体" w:cs="宋体"/>
                <w:color w:val="000000" w:themeColor="text1"/>
                <w:sz w:val="24"/>
                <w:szCs w:val="24"/>
                <w:lang w:val="en-US"/>
              </w:rPr>
            </w:pPr>
            <w:r>
              <w:rPr>
                <w:rFonts w:hint="eastAsia" w:ascii="Times New Roman" w:hAnsi="Times New Roman" w:eastAsia="宋体" w:cs="宋体"/>
                <w:color w:val="000000" w:themeColor="text1"/>
                <w:sz w:val="24"/>
                <w:szCs w:val="24"/>
                <w:lang w:val="en-US" w:eastAsia="zh-CN"/>
              </w:rPr>
              <w:t>灭菌方式</w:t>
            </w:r>
          </w:p>
        </w:tc>
        <w:tc>
          <w:tcPr>
            <w:tcW w:w="6487" w:type="dxa"/>
            <w:vAlign w:val="center"/>
          </w:tcPr>
          <w:p>
            <w:pPr>
              <w:snapToGrid w:val="0"/>
              <w:spacing w:line="360" w:lineRule="auto"/>
              <w:jc w:val="left"/>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环氧乙烷灭菌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6</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贮藏</w:t>
            </w:r>
          </w:p>
        </w:tc>
        <w:tc>
          <w:tcPr>
            <w:tcW w:w="6487" w:type="dxa"/>
            <w:vAlign w:val="center"/>
          </w:tcPr>
          <w:p>
            <w:pPr>
              <w:spacing w:line="360" w:lineRule="auto"/>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themeColor="text1"/>
                <w:sz w:val="24"/>
                <w:szCs w:val="24"/>
                <w:lang w:val="en-US" w:eastAsia="zh-CN"/>
              </w:rPr>
              <w:t>7</w:t>
            </w:r>
          </w:p>
        </w:tc>
        <w:tc>
          <w:tcPr>
            <w:tcW w:w="1843"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保质期</w:t>
            </w:r>
          </w:p>
        </w:tc>
        <w:tc>
          <w:tcPr>
            <w:tcW w:w="6487" w:type="dxa"/>
            <w:vAlign w:val="center"/>
          </w:tcPr>
          <w:p>
            <w:pPr>
              <w:spacing w:line="360" w:lineRule="auto"/>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二年</w:t>
            </w:r>
          </w:p>
        </w:tc>
      </w:tr>
    </w:tbl>
    <w:p>
      <w:pPr>
        <w:spacing w:after="120"/>
        <w:rPr>
          <w:rFonts w:ascii="Times New Roman" w:hAnsi="Times New Roman" w:eastAsia="宋体" w:cs="宋体"/>
          <w:color w:val="000000" w:themeColor="text1"/>
          <w:sz w:val="24"/>
          <w:szCs w:val="24"/>
        </w:rPr>
      </w:pPr>
    </w:p>
    <w:p>
      <w:pPr>
        <w:spacing w:after="120"/>
        <w:rPr>
          <w:rFonts w:ascii="Times New Roman" w:hAnsi="Times New Roman" w:eastAsia="宋体" w:cs="宋体"/>
          <w:color w:val="000000" w:themeColor="text1"/>
          <w:sz w:val="24"/>
          <w:szCs w:val="24"/>
        </w:rPr>
      </w:pPr>
    </w:p>
    <w:p>
      <w:pPr>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rPr>
        <w:t>（三）</w:t>
      </w:r>
      <w:r>
        <w:rPr>
          <w:rFonts w:hint="eastAsia" w:ascii="Times New Roman" w:hAnsi="Times New Roman" w:eastAsia="宋体" w:cs="宋体"/>
          <w:color w:val="000000" w:themeColor="text1"/>
          <w:sz w:val="24"/>
          <w:szCs w:val="24"/>
          <w:lang w:val="en-US" w:eastAsia="zh-CN"/>
        </w:rPr>
        <w:t>可吸收医用膜</w:t>
      </w:r>
    </w:p>
    <w:tbl>
      <w:tblPr>
        <w:tblStyle w:val="31"/>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43"/>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47"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序号</w:t>
            </w:r>
          </w:p>
        </w:tc>
        <w:tc>
          <w:tcPr>
            <w:tcW w:w="1843"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名称</w:t>
            </w:r>
          </w:p>
        </w:tc>
        <w:tc>
          <w:tcPr>
            <w:tcW w:w="6487"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1</w:t>
            </w:r>
          </w:p>
        </w:tc>
        <w:tc>
          <w:tcPr>
            <w:tcW w:w="1843"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货物名称</w:t>
            </w:r>
          </w:p>
        </w:tc>
        <w:tc>
          <w:tcPr>
            <w:tcW w:w="6487" w:type="dxa"/>
            <w:vAlign w:val="center"/>
          </w:tcPr>
          <w:p>
            <w:pPr>
              <w:spacing w:line="360" w:lineRule="auto"/>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可吸收医用膜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2</w:t>
            </w:r>
          </w:p>
        </w:tc>
        <w:tc>
          <w:tcPr>
            <w:tcW w:w="1843" w:type="dxa"/>
            <w:vAlign w:val="center"/>
          </w:tcPr>
          <w:p>
            <w:pPr>
              <w:spacing w:line="360" w:lineRule="auto"/>
              <w:jc w:val="center"/>
              <w:textAlignment w:val="baseline"/>
              <w:rPr>
                <w:rFonts w:hint="eastAsia"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成分</w:t>
            </w:r>
          </w:p>
        </w:tc>
        <w:tc>
          <w:tcPr>
            <w:tcW w:w="6487" w:type="dxa"/>
            <w:vAlign w:val="center"/>
          </w:tcPr>
          <w:p>
            <w:pPr>
              <w:spacing w:line="360" w:lineRule="auto"/>
              <w:textAlignment w:val="baseline"/>
              <w:rPr>
                <w:rFonts w:hint="eastAsia"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以</w:t>
            </w:r>
            <w:r>
              <w:rPr>
                <w:rFonts w:hint="eastAsia" w:ascii="宋体" w:hAnsi="宋体" w:eastAsia="宋体" w:cs="宋体"/>
                <w:color w:val="000000" w:themeColor="text1"/>
                <w:sz w:val="24"/>
                <w:szCs w:val="24"/>
                <w:lang w:val="en-US" w:eastAsia="zh-CN"/>
              </w:rPr>
              <w:t>DL-</w:t>
            </w:r>
            <w:r>
              <w:rPr>
                <w:rFonts w:hint="eastAsia" w:ascii="Times New Roman" w:hAnsi="Times New Roman" w:eastAsia="宋体" w:cs="宋体"/>
                <w:color w:val="000000" w:themeColor="text1"/>
                <w:sz w:val="24"/>
                <w:szCs w:val="24"/>
                <w:lang w:val="en-US" w:eastAsia="zh-CN"/>
              </w:rPr>
              <w:t>乳酸为原料经聚合加工制成的防粘连产品。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3</w:t>
            </w:r>
          </w:p>
        </w:tc>
        <w:tc>
          <w:tcPr>
            <w:tcW w:w="1843" w:type="dxa"/>
            <w:vAlign w:val="center"/>
          </w:tcPr>
          <w:p>
            <w:pPr>
              <w:snapToGrid w:val="0"/>
              <w:spacing w:line="360" w:lineRule="auto"/>
              <w:jc w:val="center"/>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使用范围</w:t>
            </w:r>
          </w:p>
        </w:tc>
        <w:tc>
          <w:tcPr>
            <w:tcW w:w="6487" w:type="dxa"/>
            <w:vAlign w:val="center"/>
          </w:tcPr>
          <w:p>
            <w:pPr>
              <w:spacing w:line="360" w:lineRule="auto"/>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themeColor="text1"/>
                <w:sz w:val="24"/>
                <w:szCs w:val="24"/>
              </w:rPr>
              <w:t>可用于腹壁切口，预防腹膜粘连；用于脊柱手术，预防硬脊膜及神经粘连；用于四肢手术，预防组织粘连</w:t>
            </w:r>
            <w:r>
              <w:rPr>
                <w:rFonts w:hint="eastAsia" w:ascii="Times New Roman" w:hAnsi="Times New Roman" w:eastAsia="宋体" w:cs="宋体"/>
                <w:color w:val="000000" w:themeColor="text1"/>
                <w:sz w:val="24"/>
                <w:szCs w:val="24"/>
                <w:lang w:eastAsia="zh-CN"/>
              </w:rPr>
              <w:t>；</w:t>
            </w:r>
            <w:r>
              <w:rPr>
                <w:rFonts w:hint="eastAsia" w:ascii="Times New Roman" w:hAnsi="Times New Roman" w:eastAsia="宋体" w:cs="宋体"/>
                <w:color w:val="000000" w:themeColor="text1"/>
                <w:sz w:val="24"/>
                <w:szCs w:val="24"/>
              </w:rPr>
              <w:t>用于腔镜手术（独家专利），胆囊切除，子宫肌瘤切除术等</w:t>
            </w:r>
            <w:r>
              <w:rPr>
                <w:rFonts w:hint="eastAsia" w:ascii="Times New Roman" w:hAnsi="Times New Roman" w:eastAsia="宋体" w:cs="宋体"/>
                <w:color w:val="000000" w:themeColor="text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4</w:t>
            </w:r>
          </w:p>
        </w:tc>
        <w:tc>
          <w:tcPr>
            <w:tcW w:w="1843" w:type="dxa"/>
            <w:vAlign w:val="center"/>
          </w:tcPr>
          <w:p>
            <w:pPr>
              <w:snapToGrid w:val="0"/>
              <w:spacing w:line="360" w:lineRule="auto"/>
              <w:jc w:val="center"/>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规格型号</w:t>
            </w:r>
          </w:p>
        </w:tc>
        <w:tc>
          <w:tcPr>
            <w:tcW w:w="6487" w:type="dxa"/>
            <w:vAlign w:val="center"/>
          </w:tcPr>
          <w:p>
            <w:pPr>
              <w:spacing w:line="360" w:lineRule="auto"/>
              <w:ind w:right="140"/>
              <w:rPr>
                <w:rFonts w:ascii="Times New Roman" w:hAnsi="Times New Roman" w:cs="宋体"/>
                <w:color w:val="000000" w:themeColor="text1"/>
                <w:sz w:val="24"/>
                <w:szCs w:val="24"/>
              </w:rPr>
            </w:pPr>
            <w:r>
              <w:rPr>
                <w:rFonts w:hint="eastAsia" w:ascii="宋体" w:hAnsi="宋体" w:eastAsia="宋体" w:cs="宋体"/>
                <w:color w:val="000000" w:themeColor="text1"/>
                <w:sz w:val="24"/>
                <w:szCs w:val="24"/>
              </w:rPr>
              <w:t>DH-KYM-D</w:t>
            </w: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rPr>
              <w:t>80*60*0.04mm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5</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themeColor="text1"/>
                <w:sz w:val="24"/>
                <w:szCs w:val="24"/>
                <w:lang w:val="en-US" w:eastAsia="zh-CN"/>
              </w:rPr>
              <w:t>有效期</w:t>
            </w:r>
          </w:p>
        </w:tc>
        <w:tc>
          <w:tcPr>
            <w:tcW w:w="6487" w:type="dxa"/>
            <w:vAlign w:val="center"/>
          </w:tcPr>
          <w:p>
            <w:pPr>
              <w:spacing w:line="360" w:lineRule="auto"/>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二年</w:t>
            </w:r>
          </w:p>
        </w:tc>
      </w:tr>
    </w:tbl>
    <w:p>
      <w:pPr>
        <w:rPr>
          <w:rFonts w:ascii="Times New Roman" w:hAnsi="Times New Roman" w:eastAsia="宋体" w:cs="宋体"/>
          <w:color w:val="000000" w:themeColor="text1"/>
          <w:sz w:val="24"/>
          <w:szCs w:val="24"/>
        </w:rPr>
      </w:pPr>
    </w:p>
    <w:p>
      <w:pPr>
        <w:rPr>
          <w:rFonts w:ascii="Times New Roman" w:hAnsi="Times New Roman" w:eastAsia="宋体" w:cs="宋体"/>
          <w:color w:val="000000" w:themeColor="text1"/>
          <w:sz w:val="24"/>
          <w:szCs w:val="24"/>
        </w:rPr>
      </w:pPr>
    </w:p>
    <w:p>
      <w:pPr>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themeColor="text1"/>
          <w:sz w:val="24"/>
          <w:szCs w:val="24"/>
        </w:rPr>
        <w:t>（四）</w:t>
      </w:r>
      <w:r>
        <w:rPr>
          <w:rFonts w:hint="eastAsia" w:ascii="Times New Roman" w:hAnsi="Times New Roman" w:eastAsia="宋体" w:cs="宋体"/>
          <w:color w:val="000000" w:themeColor="text1"/>
          <w:sz w:val="24"/>
          <w:szCs w:val="24"/>
          <w:lang w:val="en-US" w:eastAsia="zh-CN"/>
        </w:rPr>
        <w:t>集尿袋</w:t>
      </w:r>
    </w:p>
    <w:tbl>
      <w:tblPr>
        <w:tblStyle w:val="31"/>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43"/>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47"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序号</w:t>
            </w:r>
          </w:p>
        </w:tc>
        <w:tc>
          <w:tcPr>
            <w:tcW w:w="1843"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名称</w:t>
            </w:r>
          </w:p>
        </w:tc>
        <w:tc>
          <w:tcPr>
            <w:tcW w:w="6487"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1</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themeColor="text1"/>
                <w:sz w:val="24"/>
                <w:szCs w:val="24"/>
                <w:lang w:eastAsia="zh-CN"/>
              </w:rPr>
              <w:t>货物名称</w:t>
            </w:r>
          </w:p>
        </w:tc>
        <w:tc>
          <w:tcPr>
            <w:tcW w:w="6487" w:type="dxa"/>
            <w:vAlign w:val="center"/>
          </w:tcPr>
          <w:p>
            <w:pPr>
              <w:snapToGrid w:val="0"/>
              <w:spacing w:line="360" w:lineRule="auto"/>
              <w:jc w:val="left"/>
              <w:textAlignment w:val="baseline"/>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themeColor="text1"/>
                <w:sz w:val="24"/>
                <w:szCs w:val="24"/>
                <w:lang w:eastAsia="zh-CN"/>
              </w:rPr>
              <w:t>一次性使用集尿袋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2</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功能用途</w:t>
            </w:r>
          </w:p>
        </w:tc>
        <w:tc>
          <w:tcPr>
            <w:tcW w:w="6487" w:type="dxa"/>
            <w:vAlign w:val="center"/>
          </w:tcPr>
          <w:p>
            <w:pPr>
              <w:snapToGrid w:val="0"/>
              <w:spacing w:line="360" w:lineRule="auto"/>
              <w:jc w:val="left"/>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lang w:eastAsia="zh-CN"/>
              </w:rPr>
              <w:t>适用于与导尿管连接后用于病人的尿液收集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themeColor="text1"/>
                <w:sz w:val="24"/>
                <w:szCs w:val="24"/>
                <w:lang w:eastAsia="zh-CN"/>
              </w:rPr>
              <w:t>3</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themeColor="text1"/>
                <w:sz w:val="24"/>
                <w:szCs w:val="24"/>
                <w:lang w:eastAsia="zh-CN"/>
              </w:rPr>
              <w:t>结构及组成</w:t>
            </w:r>
          </w:p>
        </w:tc>
        <w:tc>
          <w:tcPr>
            <w:tcW w:w="6487" w:type="dxa"/>
            <w:vAlign w:val="center"/>
          </w:tcPr>
          <w:p>
            <w:pPr>
              <w:snapToGrid w:val="0"/>
              <w:spacing w:line="360" w:lineRule="auto"/>
              <w:jc w:val="left"/>
              <w:textAlignment w:val="baseline"/>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themeColor="text1"/>
                <w:sz w:val="24"/>
                <w:szCs w:val="24"/>
                <w:lang w:eastAsia="zh-CN"/>
              </w:rPr>
              <w:t>产品由刻度袋体、导管（引入导管、排出导管）、联接器、保护套、逆止阀、挂绳及可选配件：阀门（止流阀）组成。在空载状态、加载状态、跌落状态均不应漏液。止流夹应能完全止留液体流动。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360" w:lineRule="auto"/>
              <w:jc w:val="center"/>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4</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themeColor="text1"/>
                <w:sz w:val="24"/>
                <w:szCs w:val="24"/>
                <w:lang w:eastAsia="zh-CN"/>
              </w:rPr>
              <w:t>容量</w:t>
            </w:r>
          </w:p>
        </w:tc>
        <w:tc>
          <w:tcPr>
            <w:tcW w:w="6487" w:type="dxa"/>
            <w:vAlign w:val="center"/>
          </w:tcPr>
          <w:p>
            <w:pPr>
              <w:snapToGrid w:val="0"/>
              <w:spacing w:line="360" w:lineRule="auto"/>
              <w:jc w:val="left"/>
              <w:textAlignment w:val="baseline"/>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2000ml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360" w:lineRule="auto"/>
              <w:jc w:val="center"/>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5</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themeColor="text1"/>
                <w:sz w:val="24"/>
                <w:szCs w:val="24"/>
                <w:lang w:eastAsia="zh-CN"/>
              </w:rPr>
              <w:t>回流量</w:t>
            </w:r>
          </w:p>
        </w:tc>
        <w:tc>
          <w:tcPr>
            <w:tcW w:w="6487" w:type="dxa"/>
            <w:vAlign w:val="center"/>
          </w:tcPr>
          <w:p>
            <w:pPr>
              <w:snapToGrid w:val="0"/>
              <w:spacing w:line="360" w:lineRule="auto"/>
              <w:jc w:val="left"/>
              <w:textAlignment w:val="baseline"/>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w:t>
            </w:r>
            <w:r>
              <w:rPr>
                <w:rFonts w:hint="eastAsia" w:ascii="宋体" w:hAnsi="宋体" w:eastAsia="宋体" w:cs="宋体"/>
                <w:color w:val="000000" w:themeColor="text1"/>
                <w:sz w:val="24"/>
                <w:szCs w:val="24"/>
                <w:lang w:val="en-US" w:eastAsia="zh-CN"/>
              </w:rPr>
              <w:t>10ml/min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themeColor="text1"/>
                <w:sz w:val="24"/>
                <w:szCs w:val="24"/>
                <w:lang w:val="en-US" w:eastAsia="zh-CN"/>
              </w:rPr>
              <w:t>6</w:t>
            </w:r>
          </w:p>
        </w:tc>
        <w:tc>
          <w:tcPr>
            <w:tcW w:w="1843" w:type="dxa"/>
            <w:vAlign w:val="center"/>
          </w:tcPr>
          <w:p>
            <w:pPr>
              <w:snapToGrid w:val="0"/>
              <w:spacing w:line="360" w:lineRule="auto"/>
              <w:jc w:val="center"/>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eastAsia="zh-CN"/>
              </w:rPr>
              <w:t>灭菌</w:t>
            </w:r>
            <w:r>
              <w:rPr>
                <w:rFonts w:hint="eastAsia" w:ascii="Times New Roman" w:hAnsi="Times New Roman" w:eastAsia="宋体" w:cs="宋体"/>
                <w:color w:val="000000" w:themeColor="text1"/>
                <w:sz w:val="24"/>
                <w:szCs w:val="24"/>
                <w:lang w:val="en-US" w:eastAsia="zh-CN"/>
              </w:rPr>
              <w:t>方式</w:t>
            </w:r>
          </w:p>
        </w:tc>
        <w:tc>
          <w:tcPr>
            <w:tcW w:w="6487" w:type="dxa"/>
            <w:vAlign w:val="center"/>
          </w:tcPr>
          <w:p>
            <w:pPr>
              <w:snapToGrid w:val="0"/>
              <w:spacing w:line="360" w:lineRule="auto"/>
              <w:jc w:val="left"/>
              <w:textAlignment w:val="baseline"/>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经环氧乙烷灭菌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360" w:lineRule="auto"/>
              <w:jc w:val="center"/>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7</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themeColor="text1"/>
                <w:sz w:val="24"/>
                <w:szCs w:val="24"/>
                <w:lang w:eastAsia="zh-CN"/>
              </w:rPr>
              <w:t>有效期</w:t>
            </w:r>
          </w:p>
        </w:tc>
        <w:tc>
          <w:tcPr>
            <w:tcW w:w="6487" w:type="dxa"/>
            <w:vAlign w:val="center"/>
          </w:tcPr>
          <w:p>
            <w:pPr>
              <w:snapToGrid w:val="0"/>
              <w:spacing w:line="360" w:lineRule="auto"/>
              <w:jc w:val="left"/>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三年</w:t>
            </w:r>
          </w:p>
        </w:tc>
      </w:tr>
    </w:tbl>
    <w:p>
      <w:pPr>
        <w:spacing w:after="120"/>
        <w:rPr>
          <w:rFonts w:ascii="Times New Roman" w:hAnsi="Times New Roman" w:eastAsia="宋体" w:cs="宋体"/>
          <w:color w:val="000000" w:themeColor="text1"/>
          <w:sz w:val="24"/>
          <w:szCs w:val="24"/>
        </w:rPr>
      </w:pPr>
    </w:p>
    <w:p>
      <w:pPr>
        <w:spacing w:after="120"/>
        <w:rPr>
          <w:rFonts w:ascii="Times New Roman" w:hAnsi="Times New Roman" w:eastAsia="宋体" w:cs="宋体"/>
          <w:color w:val="000000" w:themeColor="text1"/>
          <w:sz w:val="24"/>
          <w:szCs w:val="24"/>
        </w:rPr>
      </w:pPr>
    </w:p>
    <w:p>
      <w:pPr>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rPr>
        <w:t>（五）</w:t>
      </w:r>
      <w:r>
        <w:rPr>
          <w:rFonts w:hint="eastAsia" w:ascii="Times New Roman" w:hAnsi="Times New Roman" w:eastAsia="宋体" w:cs="宋体"/>
          <w:color w:val="000000" w:themeColor="text1"/>
          <w:sz w:val="24"/>
          <w:szCs w:val="24"/>
          <w:lang w:val="en-US" w:eastAsia="zh-CN"/>
        </w:rPr>
        <w:t>补片一批</w:t>
      </w:r>
    </w:p>
    <w:tbl>
      <w:tblPr>
        <w:tblStyle w:val="31"/>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43"/>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47"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序号</w:t>
            </w:r>
          </w:p>
        </w:tc>
        <w:tc>
          <w:tcPr>
            <w:tcW w:w="1843"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名称</w:t>
            </w:r>
          </w:p>
        </w:tc>
        <w:tc>
          <w:tcPr>
            <w:tcW w:w="6487"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1</w:t>
            </w:r>
          </w:p>
        </w:tc>
        <w:tc>
          <w:tcPr>
            <w:tcW w:w="1843"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货物名称</w:t>
            </w:r>
          </w:p>
        </w:tc>
        <w:tc>
          <w:tcPr>
            <w:tcW w:w="6487" w:type="dxa"/>
            <w:vAlign w:val="center"/>
          </w:tcPr>
          <w:p>
            <w:pPr>
              <w:spacing w:line="360" w:lineRule="auto"/>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复合补片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2</w:t>
            </w:r>
          </w:p>
        </w:tc>
        <w:tc>
          <w:tcPr>
            <w:tcW w:w="1843" w:type="dxa"/>
            <w:vAlign w:val="center"/>
          </w:tcPr>
          <w:p>
            <w:pPr>
              <w:snapToGrid w:val="0"/>
              <w:spacing w:line="360" w:lineRule="auto"/>
              <w:jc w:val="center"/>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功能用途</w:t>
            </w:r>
          </w:p>
        </w:tc>
        <w:tc>
          <w:tcPr>
            <w:tcW w:w="6487" w:type="dxa"/>
            <w:vAlign w:val="center"/>
          </w:tcPr>
          <w:p>
            <w:pPr>
              <w:tabs>
                <w:tab w:val="left" w:pos="2368"/>
              </w:tabs>
              <w:snapToGrid w:val="0"/>
              <w:spacing w:line="360" w:lineRule="auto"/>
              <w:jc w:val="both"/>
              <w:textAlignment w:val="baseline"/>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sz w:val="24"/>
                <w:szCs w:val="24"/>
                <w:lang w:eastAsia="zh-CN"/>
              </w:rPr>
              <w:t>适用于腹壁疝、腹壁</w:t>
            </w:r>
            <w:r>
              <w:rPr>
                <w:rFonts w:hint="eastAsia" w:ascii="Times New Roman" w:hAnsi="Times New Roman" w:eastAsia="宋体" w:cs="宋体"/>
                <w:color w:val="000000"/>
                <w:sz w:val="24"/>
                <w:szCs w:val="24"/>
                <w:lang w:val="en-US" w:eastAsia="zh-CN"/>
              </w:rPr>
              <w:t>缺损及腹股沟疝的修补术</w:t>
            </w:r>
            <w:r>
              <w:rPr>
                <w:rFonts w:hint="eastAsia" w:ascii="Times New Roman" w:hAnsi="Times New Roman" w:eastAsia="宋体" w:cs="宋体"/>
                <w:color w:val="000000"/>
                <w:sz w:val="24"/>
                <w:szCs w:val="24"/>
              </w:rPr>
              <w:t>。</w:t>
            </w:r>
            <w:r>
              <w:rPr>
                <w:rFonts w:hint="eastAsia" w:ascii="Times New Roman" w:hAnsi="Times New Roman" w:eastAsia="宋体" w:cs="宋体"/>
                <w:color w:val="000000"/>
                <w:sz w:val="24"/>
                <w:szCs w:val="24"/>
                <w:lang w:eastAsia="zh-CN"/>
              </w:rPr>
              <w:t>满足腹腔内使用而不</w:t>
            </w:r>
            <w:r>
              <w:rPr>
                <w:rFonts w:hint="eastAsia" w:ascii="Times New Roman" w:hAnsi="Times New Roman" w:eastAsia="宋体" w:cs="宋体"/>
                <w:color w:val="000000"/>
                <w:sz w:val="24"/>
                <w:szCs w:val="24"/>
                <w:lang w:val="en-US" w:eastAsia="zh-CN"/>
              </w:rPr>
              <w:t>引起内脏粘连。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themeColor="text1"/>
                <w:sz w:val="24"/>
                <w:szCs w:val="24"/>
                <w:lang w:val="en-US" w:eastAsia="zh-CN"/>
              </w:rPr>
              <w:t>3</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结构及组成</w:t>
            </w:r>
          </w:p>
        </w:tc>
        <w:tc>
          <w:tcPr>
            <w:tcW w:w="6487" w:type="dxa"/>
            <w:vAlign w:val="center"/>
          </w:tcPr>
          <w:p>
            <w:pPr>
              <w:snapToGrid w:val="0"/>
              <w:spacing w:line="360" w:lineRule="auto"/>
              <w:jc w:val="left"/>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sz w:val="24"/>
                <w:szCs w:val="24"/>
                <w:lang w:eastAsia="zh-CN"/>
              </w:rPr>
              <w:t>由单丝编织的聚丙烯网及可吸收膜组成的复合材料，带条纹和引流孔。包括大小多种尺寸选择，最</w:t>
            </w:r>
            <w:r>
              <w:rPr>
                <w:rFonts w:hint="eastAsia" w:ascii="宋体" w:hAnsi="宋体" w:eastAsia="宋体" w:cs="宋体"/>
                <w:color w:val="000000"/>
                <w:sz w:val="24"/>
                <w:szCs w:val="24"/>
                <w:lang w:eastAsia="zh-CN"/>
              </w:rPr>
              <w:t>大</w:t>
            </w:r>
            <w:r>
              <w:rPr>
                <w:rFonts w:hint="eastAsia" w:ascii="宋体" w:hAnsi="宋体" w:eastAsia="宋体" w:cs="宋体"/>
                <w:color w:val="000000"/>
                <w:sz w:val="24"/>
                <w:szCs w:val="24"/>
                <w:lang w:val="en-US" w:eastAsia="zh-CN"/>
              </w:rPr>
              <w:t>20×25cm。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360" w:lineRule="auto"/>
              <w:jc w:val="center"/>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4</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lang w:val="en-US" w:eastAsia="zh-CN"/>
              </w:rPr>
              <w:t>规格型号</w:t>
            </w:r>
          </w:p>
        </w:tc>
        <w:tc>
          <w:tcPr>
            <w:tcW w:w="6487" w:type="dxa"/>
            <w:vAlign w:val="center"/>
          </w:tcPr>
          <w:p>
            <w:pPr>
              <w:snapToGrid w:val="0"/>
              <w:spacing w:line="360" w:lineRule="auto"/>
              <w:jc w:val="left"/>
              <w:textAlignment w:val="baseline"/>
              <w:rPr>
                <w:rFonts w:hint="eastAsia" w:ascii="Times New Roman" w:hAnsi="Times New Roman" w:eastAsia="宋体" w:cs="宋体"/>
                <w:color w:val="000000" w:themeColor="text1"/>
                <w:sz w:val="24"/>
                <w:szCs w:val="24"/>
                <w:lang w:eastAsia="zh-CN"/>
              </w:rPr>
            </w:pPr>
            <w:r>
              <w:rPr>
                <w:rFonts w:hint="eastAsia" w:ascii="宋体" w:hAnsi="宋体" w:eastAsia="宋体" w:cs="宋体"/>
                <w:color w:val="000000" w:themeColor="text1"/>
                <w:sz w:val="24"/>
                <w:szCs w:val="24"/>
              </w:rPr>
              <w:t>PLRL1 20×25cm</w:t>
            </w:r>
            <w:r>
              <w:rPr>
                <w:rFonts w:hint="eastAsia" w:ascii="宋体" w:hAnsi="宋体" w:eastAsia="宋体" w:cs="宋体"/>
                <w:color w:val="000000" w:themeColor="text1"/>
                <w:sz w:val="24"/>
                <w:szCs w:val="24"/>
                <w:lang w:eastAsia="zh-CN"/>
              </w:rPr>
              <w:t>；PLRM1 10×15cm；PLRM3 15×20cm；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themeColor="text1"/>
                <w:sz w:val="24"/>
                <w:szCs w:val="24"/>
                <w:lang w:val="en-US" w:eastAsia="zh-CN"/>
              </w:rPr>
              <w:t>5</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使用范围</w:t>
            </w:r>
          </w:p>
        </w:tc>
        <w:tc>
          <w:tcPr>
            <w:tcW w:w="6487" w:type="dxa"/>
            <w:vAlign w:val="center"/>
          </w:tcPr>
          <w:p>
            <w:pPr>
              <w:snapToGrid w:val="0"/>
              <w:spacing w:line="360" w:lineRule="auto"/>
              <w:jc w:val="left"/>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适用于腹腔内修补腹壁疝、腹璧缺损及腹腔镜下的腹股沟疝。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themeColor="text1"/>
                <w:sz w:val="24"/>
                <w:szCs w:val="24"/>
                <w:lang w:val="en-US" w:eastAsia="zh-CN"/>
              </w:rPr>
              <w:t>6</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sz w:val="24"/>
                <w:szCs w:val="24"/>
                <w:lang w:eastAsia="zh-CN"/>
              </w:rPr>
              <w:t>可吸收</w:t>
            </w:r>
            <w:r>
              <w:rPr>
                <w:rFonts w:hint="eastAsia" w:ascii="Times New Roman" w:hAnsi="Times New Roman" w:eastAsia="宋体" w:cs="宋体"/>
                <w:color w:val="000000"/>
                <w:sz w:val="24"/>
                <w:szCs w:val="24"/>
              </w:rPr>
              <w:t>膜材</w:t>
            </w:r>
            <w:r>
              <w:rPr>
                <w:rFonts w:hint="eastAsia" w:ascii="Times New Roman" w:hAnsi="Times New Roman" w:eastAsia="宋体" w:cs="宋体"/>
                <w:color w:val="000000"/>
                <w:sz w:val="24"/>
                <w:szCs w:val="24"/>
                <w:lang w:eastAsia="zh-CN"/>
              </w:rPr>
              <w:t>质</w:t>
            </w:r>
          </w:p>
        </w:tc>
        <w:tc>
          <w:tcPr>
            <w:tcW w:w="6487" w:type="dxa"/>
            <w:vAlign w:val="center"/>
          </w:tcPr>
          <w:p>
            <w:pPr>
              <w:snapToGrid w:val="0"/>
              <w:spacing w:line="360" w:lineRule="auto"/>
              <w:jc w:val="left"/>
              <w:textAlignment w:val="baseline"/>
              <w:rPr>
                <w:rFonts w:hint="eastAsia" w:ascii="Times New Roman" w:hAnsi="Times New Roman" w:eastAsia="宋体" w:cs="宋体"/>
                <w:color w:val="000000" w:themeColor="text1"/>
                <w:sz w:val="24"/>
                <w:szCs w:val="24"/>
              </w:rPr>
            </w:pPr>
            <w:r>
              <w:rPr>
                <w:rFonts w:hint="eastAsia" w:ascii="宋体" w:hAnsi="宋体" w:eastAsia="宋体" w:cs="宋体"/>
                <w:w w:val="95"/>
                <w:sz w:val="24"/>
                <w:szCs w:val="24"/>
                <w:lang w:val="en-US" w:eastAsia="zh-CN"/>
              </w:rPr>
              <w:t>L-丙</w:t>
            </w:r>
            <w:r>
              <w:rPr>
                <w:rFonts w:hint="eastAsia" w:ascii="宋体" w:hAnsi="宋体" w:eastAsia="宋体" w:cs="宋体"/>
                <w:w w:val="95"/>
                <w:sz w:val="24"/>
                <w:szCs w:val="24"/>
              </w:rPr>
              <w:t>交酯-己内酯</w:t>
            </w:r>
            <w:r>
              <w:rPr>
                <w:rFonts w:hint="eastAsia" w:ascii="宋体" w:hAnsi="宋体" w:eastAsia="宋体" w:cs="宋体"/>
                <w:w w:val="95"/>
                <w:sz w:val="24"/>
                <w:szCs w:val="24"/>
                <w:lang w:eastAsia="zh-CN"/>
              </w:rPr>
              <w:t>（</w:t>
            </w:r>
            <w:r>
              <w:rPr>
                <w:rFonts w:hint="eastAsia" w:ascii="宋体" w:hAnsi="宋体" w:eastAsia="宋体" w:cs="宋体"/>
                <w:w w:val="95"/>
                <w:sz w:val="24"/>
                <w:szCs w:val="24"/>
                <w:lang w:val="en-US" w:eastAsia="zh-CN"/>
              </w:rPr>
              <w:t>PLCL）</w:t>
            </w:r>
            <w:r>
              <w:rPr>
                <w:rFonts w:hint="eastAsia" w:ascii="宋体" w:hAnsi="宋体" w:eastAsia="宋体" w:cs="宋体"/>
                <w:w w:val="95"/>
                <w:sz w:val="24"/>
                <w:szCs w:val="24"/>
              </w:rPr>
              <w:t>共聚物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themeColor="text1"/>
                <w:sz w:val="24"/>
                <w:szCs w:val="24"/>
                <w:lang w:val="en-US" w:eastAsia="zh-CN"/>
              </w:rPr>
              <w:t>7</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rPr>
              <w:t>灭菌</w:t>
            </w:r>
            <w:r>
              <w:rPr>
                <w:rFonts w:hint="eastAsia" w:ascii="Times New Roman" w:hAnsi="Times New Roman" w:eastAsia="宋体" w:cs="宋体"/>
                <w:color w:val="000000" w:themeColor="text1"/>
                <w:sz w:val="24"/>
                <w:szCs w:val="24"/>
                <w:lang w:val="en-US" w:eastAsia="zh-CN"/>
              </w:rPr>
              <w:t>方式</w:t>
            </w:r>
          </w:p>
        </w:tc>
        <w:tc>
          <w:tcPr>
            <w:tcW w:w="6487" w:type="dxa"/>
            <w:vAlign w:val="center"/>
          </w:tcPr>
          <w:p>
            <w:pPr>
              <w:snapToGrid w:val="0"/>
              <w:spacing w:line="360" w:lineRule="auto"/>
              <w:jc w:val="left"/>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sz w:val="24"/>
                <w:szCs w:val="24"/>
                <w:lang w:val="en-US" w:eastAsia="zh-CN"/>
              </w:rPr>
              <w:t>辐照灭菌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lang w:eastAsia="zh-CN"/>
              </w:rPr>
            </w:pPr>
            <w:r>
              <w:rPr>
                <w:rFonts w:hint="eastAsia" w:ascii="Times New Roman" w:hAnsi="Times New Roman" w:eastAsia="宋体" w:cs="宋体"/>
                <w:color w:val="000000" w:themeColor="text1"/>
                <w:sz w:val="24"/>
                <w:szCs w:val="24"/>
                <w:lang w:val="en-US" w:eastAsia="zh-CN"/>
              </w:rPr>
              <w:t>8</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有效期</w:t>
            </w:r>
          </w:p>
        </w:tc>
        <w:tc>
          <w:tcPr>
            <w:tcW w:w="6487" w:type="dxa"/>
            <w:vAlign w:val="center"/>
          </w:tcPr>
          <w:p>
            <w:pPr>
              <w:snapToGrid w:val="0"/>
              <w:spacing w:line="360" w:lineRule="auto"/>
              <w:jc w:val="left"/>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sz w:val="24"/>
                <w:szCs w:val="24"/>
                <w:lang w:eastAsia="zh-CN"/>
              </w:rPr>
              <w:t>四年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Align w:val="center"/>
          </w:tcPr>
          <w:p>
            <w:pPr>
              <w:snapToGrid w:val="0"/>
              <w:spacing w:line="400" w:lineRule="exact"/>
              <w:jc w:val="center"/>
              <w:textAlignment w:val="baseline"/>
              <w:rPr>
                <w:rFonts w:hint="eastAsia" w:ascii="Times New Roman" w:hAnsi="Times New Roman" w:eastAsia="宋体" w:cs="宋体"/>
                <w:color w:val="000000" w:themeColor="text1"/>
                <w:kern w:val="2"/>
                <w:sz w:val="24"/>
                <w:szCs w:val="24"/>
                <w:lang w:val="en-US" w:eastAsia="zh-CN" w:bidi="ar-SA"/>
              </w:rPr>
            </w:pPr>
            <w:r>
              <w:rPr>
                <w:rFonts w:hint="eastAsia" w:ascii="Times New Roman" w:hAnsi="Times New Roman" w:eastAsia="宋体" w:cs="宋体"/>
                <w:color w:val="000000" w:themeColor="text1"/>
                <w:sz w:val="24"/>
                <w:szCs w:val="24"/>
              </w:rPr>
              <w:t>序号</w:t>
            </w:r>
          </w:p>
        </w:tc>
        <w:tc>
          <w:tcPr>
            <w:tcW w:w="1843" w:type="dxa"/>
            <w:vAlign w:val="center"/>
          </w:tcPr>
          <w:p>
            <w:pPr>
              <w:snapToGrid w:val="0"/>
              <w:spacing w:line="400" w:lineRule="exact"/>
              <w:jc w:val="center"/>
              <w:textAlignment w:val="baseline"/>
              <w:rPr>
                <w:rFonts w:hint="eastAsia" w:ascii="Times New Roman" w:hAnsi="Times New Roman" w:eastAsia="宋体" w:cs="宋体"/>
                <w:color w:val="000000" w:themeColor="text1"/>
                <w:kern w:val="2"/>
                <w:sz w:val="24"/>
                <w:szCs w:val="24"/>
                <w:lang w:val="en-US" w:eastAsia="zh-CN" w:bidi="ar-SA"/>
              </w:rPr>
            </w:pPr>
            <w:r>
              <w:rPr>
                <w:rFonts w:hint="eastAsia" w:ascii="Times New Roman" w:hAnsi="Times New Roman" w:eastAsia="宋体" w:cs="宋体"/>
                <w:color w:val="000000" w:themeColor="text1"/>
                <w:sz w:val="24"/>
                <w:szCs w:val="24"/>
              </w:rPr>
              <w:t>名称</w:t>
            </w:r>
          </w:p>
        </w:tc>
        <w:tc>
          <w:tcPr>
            <w:tcW w:w="6487" w:type="dxa"/>
            <w:vAlign w:val="center"/>
          </w:tcPr>
          <w:p>
            <w:pPr>
              <w:snapToGrid w:val="0"/>
              <w:spacing w:line="400" w:lineRule="exact"/>
              <w:jc w:val="center"/>
              <w:textAlignment w:val="baseline"/>
              <w:rPr>
                <w:rFonts w:hint="eastAsia" w:ascii="Times New Roman" w:hAnsi="Times New Roman" w:eastAsia="宋体" w:cs="宋体"/>
                <w:color w:val="000000" w:themeColor="text1"/>
                <w:kern w:val="2"/>
                <w:sz w:val="24"/>
                <w:szCs w:val="24"/>
                <w:lang w:val="en-US" w:eastAsia="zh-CN" w:bidi="ar-SA"/>
              </w:rPr>
            </w:pPr>
            <w:r>
              <w:rPr>
                <w:rFonts w:hint="eastAsia" w:ascii="Times New Roman" w:hAnsi="Times New Roman" w:eastAsia="宋体" w:cs="宋体"/>
                <w:color w:val="000000" w:themeColor="text1"/>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Align w:val="center"/>
          </w:tcPr>
          <w:p>
            <w:pPr>
              <w:snapToGrid w:val="0"/>
              <w:spacing w:line="360" w:lineRule="auto"/>
              <w:jc w:val="center"/>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1</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货物名称</w:t>
            </w:r>
          </w:p>
        </w:tc>
        <w:tc>
          <w:tcPr>
            <w:tcW w:w="6487" w:type="dxa"/>
            <w:vAlign w:val="center"/>
          </w:tcPr>
          <w:p>
            <w:pPr>
              <w:snapToGrid w:val="0"/>
              <w:spacing w:line="360" w:lineRule="auto"/>
              <w:jc w:val="left"/>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疝修补片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Align w:val="center"/>
          </w:tcPr>
          <w:p>
            <w:pPr>
              <w:snapToGrid w:val="0"/>
              <w:spacing w:line="360" w:lineRule="auto"/>
              <w:jc w:val="center"/>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2</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sz w:val="24"/>
                <w:szCs w:val="24"/>
              </w:rPr>
              <w:t>功能用途</w:t>
            </w:r>
          </w:p>
        </w:tc>
        <w:tc>
          <w:tcPr>
            <w:tcW w:w="6487" w:type="dxa"/>
            <w:vAlign w:val="center"/>
          </w:tcPr>
          <w:p>
            <w:pPr>
              <w:snapToGrid w:val="0"/>
              <w:spacing w:line="360" w:lineRule="auto"/>
              <w:jc w:val="left"/>
              <w:textAlignment w:val="baseline"/>
              <w:rPr>
                <w:rFonts w:hint="eastAsia" w:ascii="Times New Roman" w:hAnsi="Times New Roman" w:eastAsia="宋体" w:cs="宋体"/>
                <w:color w:val="000000" w:themeColor="text1"/>
                <w:sz w:val="24"/>
                <w:szCs w:val="24"/>
                <w:lang w:eastAsia="zh-CN"/>
              </w:rPr>
            </w:pPr>
            <w:r>
              <w:rPr>
                <w:rFonts w:hint="eastAsia" w:ascii="宋体" w:hAnsi="宋体" w:eastAsia="宋体" w:cs="宋体"/>
                <w:w w:val="95"/>
                <w:sz w:val="24"/>
                <w:szCs w:val="24"/>
              </w:rPr>
              <w:t>适用于原发及复发的腹股沟疝、股疝的无张力修补术。</w:t>
            </w:r>
            <w:r>
              <w:rPr>
                <w:rFonts w:hint="eastAsia" w:ascii="宋体" w:hAnsi="宋体" w:eastAsia="宋体" w:cs="宋体"/>
                <w:w w:val="95"/>
                <w:sz w:val="24"/>
                <w:szCs w:val="24"/>
                <w:lang w:eastAsia="zh-CN"/>
              </w:rPr>
              <w:t>满足开放手术及</w:t>
            </w:r>
            <w:r>
              <w:rPr>
                <w:rFonts w:hint="eastAsia" w:ascii="宋体" w:hAnsi="宋体" w:eastAsia="宋体" w:cs="宋体"/>
                <w:w w:val="95"/>
                <w:sz w:val="24"/>
                <w:szCs w:val="24"/>
                <w:lang w:val="en-US" w:eastAsia="zh-CN"/>
              </w:rPr>
              <w:t>TAPP、TEP</w:t>
            </w:r>
            <w:r>
              <w:rPr>
                <w:rFonts w:hint="eastAsia" w:ascii="宋体" w:hAnsi="宋体" w:eastAsia="宋体" w:cs="宋体"/>
                <w:w w:val="95"/>
                <w:sz w:val="24"/>
                <w:szCs w:val="24"/>
                <w:lang w:eastAsia="zh-CN"/>
              </w:rPr>
              <w:t>腔镜手术使用。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Align w:val="center"/>
          </w:tcPr>
          <w:p>
            <w:pPr>
              <w:snapToGrid w:val="0"/>
              <w:spacing w:line="360" w:lineRule="auto"/>
              <w:jc w:val="center"/>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3</w:t>
            </w:r>
          </w:p>
        </w:tc>
        <w:tc>
          <w:tcPr>
            <w:tcW w:w="1843" w:type="dxa"/>
            <w:vAlign w:val="center"/>
          </w:tcPr>
          <w:p>
            <w:pPr>
              <w:snapToGrid w:val="0"/>
              <w:spacing w:line="360" w:lineRule="auto"/>
              <w:jc w:val="center"/>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规格型号</w:t>
            </w:r>
          </w:p>
        </w:tc>
        <w:tc>
          <w:tcPr>
            <w:tcW w:w="6487" w:type="dxa"/>
            <w:vAlign w:val="center"/>
          </w:tcPr>
          <w:p>
            <w:pPr>
              <w:snapToGrid w:val="0"/>
              <w:spacing w:line="360" w:lineRule="auto"/>
              <w:jc w:val="left"/>
              <w:textAlignment w:val="baseline"/>
              <w:rPr>
                <w:rFonts w:hint="eastAsia" w:ascii="Times New Roman" w:hAnsi="Times New Roman" w:eastAsia="宋体" w:cs="宋体"/>
                <w:color w:val="000000" w:themeColor="text1"/>
                <w:sz w:val="24"/>
                <w:szCs w:val="24"/>
                <w:lang w:eastAsia="zh-CN"/>
              </w:rPr>
            </w:pPr>
            <w:r>
              <w:rPr>
                <w:rFonts w:hint="eastAsia" w:ascii="宋体" w:hAnsi="宋体" w:eastAsia="宋体" w:cs="宋体"/>
                <w:color w:val="000000" w:themeColor="text1"/>
                <w:sz w:val="24"/>
                <w:szCs w:val="24"/>
              </w:rPr>
              <w:t>LPPMF 15.6x15.6cm</w:t>
            </w:r>
            <w:r>
              <w:rPr>
                <w:rFonts w:hint="eastAsia" w:ascii="宋体" w:hAnsi="宋体" w:eastAsia="宋体" w:cs="宋体"/>
                <w:color w:val="000000" w:themeColor="text1"/>
                <w:sz w:val="24"/>
                <w:szCs w:val="24"/>
                <w:lang w:eastAsia="zh-CN"/>
              </w:rPr>
              <w:t xml:space="preserve">；LPPMS D9.6cm 5.5x12cm；LPPMT12×16cm；PAFR15×15cm；PASL D15cm；PASM D10 </w:t>
            </w:r>
            <w:r>
              <w:rPr>
                <w:rFonts w:hint="eastAsia" w:ascii="宋体" w:hAnsi="宋体" w:eastAsia="宋体" w:cs="宋体"/>
                <w:color w:val="000000" w:themeColor="text1"/>
                <w:sz w:val="24"/>
                <w:szCs w:val="24"/>
                <w:lang w:val="en-US" w:eastAsia="zh-CN"/>
              </w:rPr>
              <w:t xml:space="preserve"> </w:t>
            </w:r>
            <w:r>
              <w:rPr>
                <w:rFonts w:hint="eastAsia" w:ascii="宋体" w:hAnsi="宋体" w:eastAsia="宋体" w:cs="宋体"/>
                <w:color w:val="000000" w:themeColor="text1"/>
                <w:sz w:val="24"/>
                <w:szCs w:val="24"/>
                <w:lang w:eastAsia="zh-CN"/>
              </w:rPr>
              <w:t>6×13.5cm；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Align w:val="center"/>
          </w:tcPr>
          <w:p>
            <w:pPr>
              <w:snapToGrid w:val="0"/>
              <w:spacing w:line="360" w:lineRule="auto"/>
              <w:jc w:val="center"/>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4</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结构及组成</w:t>
            </w:r>
          </w:p>
        </w:tc>
        <w:tc>
          <w:tcPr>
            <w:tcW w:w="6487" w:type="dxa"/>
            <w:vAlign w:val="center"/>
          </w:tcPr>
          <w:p>
            <w:pPr>
              <w:snapToGrid w:val="0"/>
              <w:spacing w:line="360" w:lineRule="auto"/>
              <w:jc w:val="left"/>
              <w:textAlignment w:val="baseline"/>
              <w:rPr>
                <w:rFonts w:hint="eastAsia" w:ascii="Times New Roman" w:hAnsi="Times New Roman" w:eastAsia="宋体" w:cs="宋体"/>
                <w:color w:val="000000" w:themeColor="text1"/>
                <w:sz w:val="24"/>
                <w:szCs w:val="24"/>
              </w:rPr>
            </w:pPr>
            <w:r>
              <w:rPr>
                <w:rFonts w:hint="eastAsia" w:ascii="宋体" w:hAnsi="宋体" w:eastAsia="宋体" w:cs="宋体"/>
                <w:w w:val="95"/>
                <w:sz w:val="24"/>
                <w:szCs w:val="24"/>
              </w:rPr>
              <w:t>由聚丙烯单丝和</w:t>
            </w:r>
            <w:r>
              <w:rPr>
                <w:rFonts w:hint="eastAsia" w:ascii="宋体" w:hAnsi="宋体" w:eastAsia="宋体" w:cs="宋体"/>
                <w:w w:val="95"/>
                <w:sz w:val="24"/>
                <w:szCs w:val="24"/>
                <w:lang w:eastAsia="zh-CN"/>
              </w:rPr>
              <w:t>可吸收材料</w:t>
            </w:r>
            <w:r>
              <w:rPr>
                <w:rFonts w:hint="eastAsia" w:ascii="宋体" w:hAnsi="宋体" w:eastAsia="宋体" w:cs="宋体"/>
                <w:w w:val="95"/>
                <w:sz w:val="24"/>
                <w:szCs w:val="24"/>
              </w:rPr>
              <w:t>单丝纤维编织制成</w:t>
            </w:r>
            <w:r>
              <w:rPr>
                <w:rFonts w:hint="eastAsia" w:ascii="宋体" w:hAnsi="宋体" w:eastAsia="宋体" w:cs="宋体"/>
                <w:w w:val="95"/>
                <w:sz w:val="24"/>
                <w:szCs w:val="24"/>
                <w:lang w:eastAsia="zh-CN"/>
              </w:rPr>
              <w:t>，</w:t>
            </w:r>
            <w:r>
              <w:rPr>
                <w:rFonts w:hint="eastAsia" w:ascii="宋体" w:hAnsi="宋体" w:eastAsia="宋体" w:cs="宋体"/>
                <w:color w:val="000000"/>
                <w:sz w:val="24"/>
                <w:szCs w:val="24"/>
                <w:lang w:val="en-US" w:eastAsia="zh-CN"/>
              </w:rPr>
              <w:t>包括</w:t>
            </w:r>
            <w:r>
              <w:rPr>
                <w:rFonts w:hint="eastAsia" w:ascii="宋体" w:hAnsi="宋体" w:eastAsia="宋体" w:cs="宋体"/>
                <w:color w:val="000000"/>
                <w:sz w:val="24"/>
                <w:szCs w:val="24"/>
                <w:lang w:eastAsia="zh-CN"/>
              </w:rPr>
              <w:t>平片、预成形双层补片和立体补片。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Align w:val="center"/>
          </w:tcPr>
          <w:p>
            <w:pPr>
              <w:snapToGrid w:val="0"/>
              <w:spacing w:line="360" w:lineRule="auto"/>
              <w:jc w:val="center"/>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5</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使用范围</w:t>
            </w:r>
          </w:p>
        </w:tc>
        <w:tc>
          <w:tcPr>
            <w:tcW w:w="6487" w:type="dxa"/>
            <w:vAlign w:val="center"/>
          </w:tcPr>
          <w:p>
            <w:pPr>
              <w:snapToGrid w:val="0"/>
              <w:spacing w:line="360" w:lineRule="auto"/>
              <w:jc w:val="left"/>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适用于原发及复发的腹股沟疝、股疝的无张力修补术。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Align w:val="center"/>
          </w:tcPr>
          <w:p>
            <w:pPr>
              <w:snapToGrid w:val="0"/>
              <w:spacing w:line="360" w:lineRule="auto"/>
              <w:jc w:val="center"/>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6</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sz w:val="24"/>
                <w:szCs w:val="24"/>
                <w:lang w:eastAsia="zh-CN"/>
              </w:rPr>
              <w:t>可吸收材质</w:t>
            </w:r>
          </w:p>
        </w:tc>
        <w:tc>
          <w:tcPr>
            <w:tcW w:w="6487" w:type="dxa"/>
            <w:vAlign w:val="center"/>
          </w:tcPr>
          <w:p>
            <w:pPr>
              <w:snapToGrid w:val="0"/>
              <w:spacing w:line="360" w:lineRule="auto"/>
              <w:jc w:val="left"/>
              <w:textAlignment w:val="baseline"/>
              <w:rPr>
                <w:rFonts w:hint="eastAsia" w:ascii="Times New Roman" w:hAnsi="Times New Roman" w:eastAsia="宋体" w:cs="宋体"/>
                <w:color w:val="000000" w:themeColor="text1"/>
                <w:sz w:val="24"/>
                <w:szCs w:val="24"/>
              </w:rPr>
            </w:pPr>
            <w:r>
              <w:rPr>
                <w:rFonts w:hint="eastAsia" w:ascii="宋体" w:hAnsi="宋体" w:eastAsia="宋体" w:cs="宋体"/>
                <w:w w:val="95"/>
                <w:sz w:val="24"/>
                <w:szCs w:val="24"/>
              </w:rPr>
              <w:t>乙交酯-己内酯</w:t>
            </w:r>
            <w:r>
              <w:rPr>
                <w:rFonts w:hint="eastAsia" w:ascii="宋体" w:hAnsi="宋体" w:eastAsia="宋体" w:cs="宋体"/>
                <w:w w:val="95"/>
                <w:sz w:val="24"/>
                <w:szCs w:val="24"/>
                <w:lang w:eastAsia="zh-CN"/>
              </w:rPr>
              <w:t>（</w:t>
            </w:r>
            <w:r>
              <w:rPr>
                <w:rFonts w:hint="eastAsia" w:ascii="宋体" w:hAnsi="宋体" w:eastAsia="宋体" w:cs="宋体"/>
                <w:w w:val="95"/>
                <w:sz w:val="24"/>
                <w:szCs w:val="24"/>
                <w:lang w:val="en-US" w:eastAsia="zh-CN"/>
              </w:rPr>
              <w:t>PGCL）</w:t>
            </w:r>
            <w:r>
              <w:rPr>
                <w:rFonts w:hint="eastAsia" w:ascii="宋体" w:hAnsi="宋体" w:eastAsia="宋体" w:cs="宋体"/>
                <w:w w:val="95"/>
                <w:sz w:val="24"/>
                <w:szCs w:val="24"/>
              </w:rPr>
              <w:t>共聚物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Align w:val="center"/>
          </w:tcPr>
          <w:p>
            <w:pPr>
              <w:snapToGrid w:val="0"/>
              <w:spacing w:line="360" w:lineRule="auto"/>
              <w:jc w:val="center"/>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7</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rPr>
              <w:t>灭菌</w:t>
            </w:r>
            <w:r>
              <w:rPr>
                <w:rFonts w:hint="eastAsia" w:ascii="Times New Roman" w:hAnsi="Times New Roman" w:eastAsia="宋体" w:cs="宋体"/>
                <w:color w:val="000000" w:themeColor="text1"/>
                <w:sz w:val="24"/>
                <w:szCs w:val="24"/>
                <w:lang w:val="en-US" w:eastAsia="zh-CN"/>
              </w:rPr>
              <w:t>方式</w:t>
            </w:r>
          </w:p>
        </w:tc>
        <w:tc>
          <w:tcPr>
            <w:tcW w:w="6487" w:type="dxa"/>
            <w:vAlign w:val="center"/>
          </w:tcPr>
          <w:p>
            <w:pPr>
              <w:snapToGrid w:val="0"/>
              <w:spacing w:line="360" w:lineRule="auto"/>
              <w:jc w:val="left"/>
              <w:textAlignment w:val="baseline"/>
              <w:rPr>
                <w:rFonts w:hint="eastAsia" w:ascii="Times New Roman" w:hAnsi="Times New Roman" w:eastAsia="宋体" w:cs="宋体"/>
                <w:color w:val="000000" w:themeColor="text1"/>
                <w:sz w:val="24"/>
                <w:szCs w:val="24"/>
                <w:lang w:eastAsia="zh-CN"/>
              </w:rPr>
            </w:pPr>
            <w:r>
              <w:rPr>
                <w:rFonts w:hint="eastAsia" w:ascii="宋体" w:hAnsi="宋体" w:eastAsia="宋体" w:cs="宋体"/>
                <w:color w:val="000000"/>
                <w:sz w:val="24"/>
                <w:szCs w:val="24"/>
                <w:lang w:eastAsia="zh-CN"/>
              </w:rPr>
              <w:t>环氧乙烷灭菌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Align w:val="center"/>
          </w:tcPr>
          <w:p>
            <w:pPr>
              <w:snapToGrid w:val="0"/>
              <w:spacing w:line="360" w:lineRule="auto"/>
              <w:jc w:val="center"/>
              <w:textAlignment w:val="baseline"/>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8</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有效期</w:t>
            </w:r>
          </w:p>
        </w:tc>
        <w:tc>
          <w:tcPr>
            <w:tcW w:w="6487" w:type="dxa"/>
            <w:vAlign w:val="center"/>
          </w:tcPr>
          <w:p>
            <w:pPr>
              <w:snapToGrid w:val="0"/>
              <w:spacing w:line="360" w:lineRule="auto"/>
              <w:jc w:val="left"/>
              <w:textAlignment w:val="baseline"/>
              <w:rPr>
                <w:rFonts w:hint="eastAsia" w:ascii="Times New Roman" w:hAnsi="Times New Roman" w:eastAsia="宋体" w:cs="宋体"/>
                <w:color w:val="000000" w:themeColor="text1"/>
                <w:sz w:val="24"/>
                <w:szCs w:val="24"/>
              </w:rPr>
            </w:pPr>
            <w:r>
              <w:rPr>
                <w:rFonts w:hint="eastAsia" w:ascii="宋体" w:hAnsi="宋体" w:eastAsia="宋体" w:cs="宋体"/>
                <w:color w:val="000000"/>
                <w:sz w:val="24"/>
                <w:szCs w:val="24"/>
                <w:lang w:eastAsia="zh-CN"/>
              </w:rPr>
              <w:t>四年</w:t>
            </w:r>
          </w:p>
        </w:tc>
      </w:tr>
    </w:tbl>
    <w:p>
      <w:pPr>
        <w:spacing w:after="120"/>
        <w:rPr>
          <w:rFonts w:ascii="Times New Roman" w:hAnsi="Times New Roman" w:eastAsia="宋体" w:cs="宋体"/>
          <w:color w:val="000000" w:themeColor="text1"/>
          <w:sz w:val="24"/>
          <w:szCs w:val="24"/>
        </w:rPr>
      </w:pPr>
    </w:p>
    <w:p>
      <w:pPr>
        <w:spacing w:after="120"/>
        <w:rPr>
          <w:rFonts w:ascii="Times New Roman" w:hAnsi="Times New Roman" w:eastAsia="宋体" w:cs="宋体"/>
          <w:color w:val="000000" w:themeColor="text1"/>
          <w:sz w:val="24"/>
          <w:szCs w:val="24"/>
        </w:rPr>
      </w:pPr>
    </w:p>
    <w:p>
      <w:pPr>
        <w:rPr>
          <w:rFonts w:hint="default"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rPr>
        <w:t>（六）</w:t>
      </w:r>
      <w:r>
        <w:rPr>
          <w:rFonts w:hint="eastAsia" w:ascii="Times New Roman" w:hAnsi="Times New Roman" w:eastAsia="宋体" w:cs="宋体"/>
          <w:color w:val="000000" w:themeColor="text1"/>
          <w:sz w:val="24"/>
          <w:szCs w:val="24"/>
          <w:lang w:val="en-US" w:eastAsia="zh-CN"/>
        </w:rPr>
        <w:t>透析液过滤器</w:t>
      </w:r>
    </w:p>
    <w:tbl>
      <w:tblPr>
        <w:tblStyle w:val="31"/>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43"/>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2" w:hRule="atLeast"/>
          <w:jc w:val="center"/>
        </w:trPr>
        <w:tc>
          <w:tcPr>
            <w:tcW w:w="947"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序号</w:t>
            </w:r>
          </w:p>
        </w:tc>
        <w:tc>
          <w:tcPr>
            <w:tcW w:w="1843"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名称</w:t>
            </w:r>
          </w:p>
        </w:tc>
        <w:tc>
          <w:tcPr>
            <w:tcW w:w="6487" w:type="dxa"/>
            <w:vAlign w:val="center"/>
          </w:tcPr>
          <w:p>
            <w:pPr>
              <w:snapToGrid w:val="0"/>
              <w:spacing w:line="400" w:lineRule="exact"/>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1</w:t>
            </w:r>
          </w:p>
        </w:tc>
        <w:tc>
          <w:tcPr>
            <w:tcW w:w="1843"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货物名称</w:t>
            </w:r>
          </w:p>
        </w:tc>
        <w:tc>
          <w:tcPr>
            <w:tcW w:w="6487" w:type="dxa"/>
            <w:vAlign w:val="center"/>
          </w:tcPr>
          <w:p>
            <w:pPr>
              <w:spacing w:line="360" w:lineRule="auto"/>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透析液过滤器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ascii="Times New Roman" w:hAnsi="Times New Roman" w:eastAsia="宋体" w:cs="宋体"/>
                <w:color w:val="000000" w:themeColor="text1"/>
                <w:sz w:val="24"/>
                <w:szCs w:val="24"/>
              </w:rPr>
              <w:t>2</w:t>
            </w:r>
          </w:p>
        </w:tc>
        <w:tc>
          <w:tcPr>
            <w:tcW w:w="1843"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功能用途</w:t>
            </w:r>
          </w:p>
        </w:tc>
        <w:tc>
          <w:tcPr>
            <w:tcW w:w="6487" w:type="dxa"/>
            <w:vAlign w:val="center"/>
          </w:tcPr>
          <w:p>
            <w:pPr>
              <w:spacing w:line="360" w:lineRule="auto"/>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截留来自透析液的内毒素、微生物等；不同透析液流量的透析机使用不同规格的过滤器，避免对透析机的损坏和污染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7"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ascii="Times New Roman" w:hAnsi="Times New Roman" w:eastAsia="宋体" w:cs="宋体"/>
                <w:color w:val="000000" w:themeColor="text1"/>
                <w:sz w:val="24"/>
                <w:szCs w:val="24"/>
              </w:rPr>
              <w:t>3</w:t>
            </w:r>
          </w:p>
        </w:tc>
        <w:tc>
          <w:tcPr>
            <w:tcW w:w="1843"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膜材料</w:t>
            </w:r>
          </w:p>
        </w:tc>
        <w:tc>
          <w:tcPr>
            <w:tcW w:w="6487" w:type="dxa"/>
            <w:vAlign w:val="center"/>
          </w:tcPr>
          <w:p>
            <w:pPr>
              <w:spacing w:line="360" w:lineRule="auto"/>
              <w:ind w:right="140"/>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聚醚砜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ascii="Times New Roman" w:hAnsi="Times New Roman" w:eastAsia="宋体" w:cs="宋体"/>
                <w:color w:val="000000" w:themeColor="text1"/>
                <w:sz w:val="24"/>
                <w:szCs w:val="24"/>
              </w:rPr>
              <w:t>4</w:t>
            </w:r>
          </w:p>
        </w:tc>
        <w:tc>
          <w:tcPr>
            <w:tcW w:w="1843" w:type="dxa"/>
            <w:vAlign w:val="center"/>
          </w:tcPr>
          <w:p>
            <w:pPr>
              <w:snapToGrid w:val="0"/>
              <w:spacing w:line="360" w:lineRule="auto"/>
              <w:jc w:val="center"/>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灭菌方式</w:t>
            </w:r>
          </w:p>
        </w:tc>
        <w:tc>
          <w:tcPr>
            <w:tcW w:w="6487" w:type="dxa"/>
            <w:vAlign w:val="center"/>
          </w:tcPr>
          <w:p>
            <w:pPr>
              <w:spacing w:line="360" w:lineRule="auto"/>
              <w:textAlignment w:val="baseline"/>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电子束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5</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滤过率</w:t>
            </w:r>
          </w:p>
        </w:tc>
        <w:tc>
          <w:tcPr>
            <w:tcW w:w="6487" w:type="dxa"/>
            <w:vAlign w:val="center"/>
          </w:tcPr>
          <w:p>
            <w:pPr>
              <w:spacing w:line="360" w:lineRule="auto"/>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在最大跨膜压5</w:t>
            </w:r>
            <w:r>
              <w:rPr>
                <w:rFonts w:ascii="Times New Roman" w:hAnsi="Times New Roman" w:eastAsia="宋体" w:cs="宋体"/>
                <w:color w:val="000000" w:themeColor="text1"/>
                <w:sz w:val="24"/>
                <w:szCs w:val="24"/>
              </w:rPr>
              <w:t>25mmHg</w:t>
            </w:r>
            <w:r>
              <w:rPr>
                <w:rFonts w:hint="eastAsia" w:ascii="Times New Roman" w:hAnsi="Times New Roman" w:eastAsia="宋体" w:cs="宋体"/>
                <w:color w:val="000000" w:themeColor="text1"/>
                <w:sz w:val="24"/>
                <w:szCs w:val="24"/>
              </w:rPr>
              <w:t>下对水的滤过率不小于1</w:t>
            </w:r>
            <w:r>
              <w:rPr>
                <w:rFonts w:ascii="Times New Roman" w:hAnsi="Times New Roman" w:eastAsia="宋体" w:cs="宋体"/>
                <w:color w:val="000000" w:themeColor="text1"/>
                <w:sz w:val="24"/>
                <w:szCs w:val="24"/>
              </w:rPr>
              <w:t>000ml/min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6</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滤除性能</w:t>
            </w:r>
          </w:p>
        </w:tc>
        <w:tc>
          <w:tcPr>
            <w:tcW w:w="6487" w:type="dxa"/>
            <w:vAlign w:val="center"/>
          </w:tcPr>
          <w:p>
            <w:pPr>
              <w:spacing w:line="360" w:lineRule="auto"/>
              <w:jc w:val="left"/>
              <w:rPr>
                <w:rFonts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滤过液中细菌总数</w:t>
            </w:r>
            <w:r>
              <w:rPr>
                <w:rFonts w:ascii="Times New Roman" w:hAnsi="Times New Roman" w:eastAsia="宋体" w:cs="Times New Roman"/>
                <w:color w:val="000000" w:themeColor="text1"/>
                <w:sz w:val="24"/>
                <w:szCs w:val="24"/>
              </w:rPr>
              <w:t>≤</w:t>
            </w:r>
            <w:r>
              <w:rPr>
                <w:rFonts w:ascii="Times New Roman" w:hAnsi="Times New Roman" w:eastAsia="宋体" w:cs="宋体"/>
                <w:color w:val="000000" w:themeColor="text1"/>
                <w:sz w:val="24"/>
                <w:szCs w:val="24"/>
              </w:rPr>
              <w:t>1CFU/10mL</w:t>
            </w:r>
          </w:p>
          <w:p>
            <w:pPr>
              <w:spacing w:line="360" w:lineRule="auto"/>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滤过液中内毒素含量&lt;</w:t>
            </w:r>
            <w:r>
              <w:rPr>
                <w:rFonts w:ascii="Times New Roman" w:hAnsi="Times New Roman" w:eastAsia="宋体" w:cs="宋体"/>
                <w:color w:val="000000" w:themeColor="text1"/>
                <w:sz w:val="24"/>
                <w:szCs w:val="24"/>
              </w:rPr>
              <w:t>0.03EU/mL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7"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lang w:val="en-US" w:eastAsia="zh-CN"/>
              </w:rPr>
            </w:pPr>
            <w:r>
              <w:rPr>
                <w:rFonts w:hint="eastAsia" w:ascii="Times New Roman" w:hAnsi="Times New Roman" w:eastAsia="宋体" w:cs="宋体"/>
                <w:color w:val="000000" w:themeColor="text1"/>
                <w:sz w:val="24"/>
                <w:szCs w:val="24"/>
                <w:lang w:val="en-US" w:eastAsia="zh-CN"/>
              </w:rPr>
              <w:t>7</w:t>
            </w:r>
          </w:p>
        </w:tc>
        <w:tc>
          <w:tcPr>
            <w:tcW w:w="1843" w:type="dxa"/>
            <w:vAlign w:val="center"/>
          </w:tcPr>
          <w:p>
            <w:pPr>
              <w:snapToGrid w:val="0"/>
              <w:spacing w:line="360" w:lineRule="auto"/>
              <w:jc w:val="center"/>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使用寿命</w:t>
            </w:r>
          </w:p>
        </w:tc>
        <w:tc>
          <w:tcPr>
            <w:tcW w:w="6487" w:type="dxa"/>
            <w:vAlign w:val="center"/>
          </w:tcPr>
          <w:p>
            <w:pPr>
              <w:spacing w:line="360" w:lineRule="auto"/>
              <w:textAlignment w:val="baseline"/>
              <w:rPr>
                <w:rFonts w:hint="eastAsia" w:ascii="Times New Roman" w:hAnsi="Times New Roman" w:eastAsia="宋体" w:cs="宋体"/>
                <w:color w:val="000000" w:themeColor="text1"/>
                <w:sz w:val="24"/>
                <w:szCs w:val="24"/>
              </w:rPr>
            </w:pPr>
            <w:r>
              <w:rPr>
                <w:rFonts w:hint="eastAsia" w:ascii="Times New Roman" w:hAnsi="Times New Roman" w:eastAsia="宋体" w:cs="宋体"/>
                <w:color w:val="000000" w:themeColor="text1"/>
                <w:sz w:val="24"/>
                <w:szCs w:val="24"/>
              </w:rPr>
              <w:t>使用次数≥1</w:t>
            </w:r>
            <w:r>
              <w:rPr>
                <w:rFonts w:ascii="Times New Roman" w:hAnsi="Times New Roman" w:eastAsia="宋体" w:cs="宋体"/>
                <w:color w:val="000000" w:themeColor="text1"/>
                <w:sz w:val="24"/>
                <w:szCs w:val="24"/>
              </w:rPr>
              <w:t>50</w:t>
            </w:r>
            <w:r>
              <w:rPr>
                <w:rFonts w:hint="eastAsia" w:ascii="Times New Roman" w:hAnsi="Times New Roman" w:eastAsia="宋体" w:cs="宋体"/>
                <w:color w:val="000000" w:themeColor="text1"/>
                <w:sz w:val="24"/>
                <w:szCs w:val="24"/>
              </w:rPr>
              <w:t>次或使用时间≥9</w:t>
            </w:r>
            <w:r>
              <w:rPr>
                <w:rFonts w:ascii="Times New Roman" w:hAnsi="Times New Roman" w:eastAsia="宋体" w:cs="宋体"/>
                <w:color w:val="000000" w:themeColor="text1"/>
                <w:sz w:val="24"/>
                <w:szCs w:val="24"/>
              </w:rPr>
              <w:t>00</w:t>
            </w:r>
            <w:r>
              <w:rPr>
                <w:rFonts w:hint="eastAsia" w:ascii="Times New Roman" w:hAnsi="Times New Roman" w:eastAsia="宋体" w:cs="宋体"/>
                <w:color w:val="000000" w:themeColor="text1"/>
                <w:sz w:val="24"/>
                <w:szCs w:val="24"/>
              </w:rPr>
              <w:t>小时</w:t>
            </w:r>
          </w:p>
        </w:tc>
      </w:tr>
    </w:tbl>
    <w:p>
      <w:pPr>
        <w:spacing w:after="120"/>
        <w:rPr>
          <w:rFonts w:ascii="Times New Roman" w:hAnsi="Times New Roman" w:eastAsia="宋体" w:cs="宋体"/>
          <w:color w:val="000000" w:themeColor="text1"/>
          <w:sz w:val="24"/>
          <w:szCs w:val="24"/>
        </w:rPr>
      </w:pPr>
    </w:p>
    <w:bookmarkEnd w:id="12"/>
    <w:bookmarkEnd w:id="13"/>
    <w:p>
      <w:pPr>
        <w:keepNext/>
        <w:keepLines/>
        <w:autoSpaceDE w:val="0"/>
        <w:autoSpaceDN w:val="0"/>
        <w:spacing w:before="260" w:after="260" w:line="360" w:lineRule="auto"/>
        <w:jc w:val="left"/>
        <w:outlineLvl w:val="2"/>
        <w:rPr>
          <w:rFonts w:ascii="Times New Roman" w:hAnsi="Times New Roman" w:eastAsia="宋体" w:cs="宋体"/>
          <w:color w:val="000000" w:themeColor="text1"/>
          <w:sz w:val="24"/>
          <w:szCs w:val="20"/>
        </w:rPr>
      </w:pPr>
      <w:bookmarkStart w:id="14" w:name="_Toc11326096"/>
    </w:p>
    <w:p>
      <w:pPr>
        <w:keepNext/>
        <w:keepLines/>
        <w:autoSpaceDE w:val="0"/>
        <w:autoSpaceDN w:val="0"/>
        <w:spacing w:before="260" w:after="260" w:line="360" w:lineRule="auto"/>
        <w:jc w:val="left"/>
        <w:outlineLvl w:val="2"/>
        <w:rPr>
          <w:rFonts w:ascii="Times New Roman" w:hAnsi="Times New Roman" w:eastAsia="宋体" w:cs="宋体"/>
          <w:color w:val="000000" w:themeColor="text1"/>
          <w:sz w:val="24"/>
          <w:szCs w:val="20"/>
        </w:rPr>
      </w:pPr>
    </w:p>
    <w:p>
      <w:pPr>
        <w:keepNext/>
        <w:keepLines/>
        <w:autoSpaceDE w:val="0"/>
        <w:autoSpaceDN w:val="0"/>
        <w:spacing w:before="260" w:after="260" w:line="360" w:lineRule="auto"/>
        <w:jc w:val="left"/>
        <w:outlineLvl w:val="2"/>
        <w:rPr>
          <w:rFonts w:ascii="Times New Roman" w:hAnsi="Times New Roman" w:eastAsia="宋体" w:cs="宋体"/>
          <w:color w:val="000000" w:themeColor="text1"/>
          <w:sz w:val="24"/>
          <w:szCs w:val="20"/>
        </w:rPr>
      </w:pPr>
    </w:p>
    <w:p>
      <w:pPr>
        <w:keepNext/>
        <w:keepLines/>
        <w:autoSpaceDE w:val="0"/>
        <w:autoSpaceDN w:val="0"/>
        <w:spacing w:before="260" w:after="260" w:line="360" w:lineRule="auto"/>
        <w:jc w:val="left"/>
        <w:outlineLvl w:val="2"/>
        <w:rPr>
          <w:rFonts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Times New Roman"/>
          <w:b/>
          <w:sz w:val="28"/>
          <w:szCs w:val="20"/>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w:t>
      </w:r>
      <w:r>
        <w:rPr>
          <w:rFonts w:hint="eastAsia" w:ascii="Times New Roman" w:hAnsi="Times New Roman" w:eastAsia="宋体" w:cs="Times New Roman"/>
          <w:b/>
          <w:sz w:val="28"/>
          <w:szCs w:val="20"/>
        </w:rPr>
        <w:t>1</w:t>
      </w:r>
      <w:r>
        <w:rPr>
          <w:rFonts w:hint="eastAsia" w:ascii="宋体" w:hAnsi="宋体" w:eastAsia="宋体" w:cs="Times New Roman"/>
          <w:b/>
          <w:sz w:val="28"/>
          <w:szCs w:val="20"/>
        </w:rPr>
        <w:t>：无重大违法记录承诺书（格式）</w:t>
      </w:r>
      <w:bookmarkEnd w:id="14"/>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5" w:name="_Hlk72236197"/>
      <w:r>
        <w:rPr>
          <w:rFonts w:hint="eastAsia" w:ascii="宋体" w:hAnsi="宋体" w:eastAsia="宋体" w:cs="Times New Roman"/>
          <w:sz w:val="24"/>
          <w:szCs w:val="20"/>
        </w:rPr>
        <w:t>上海市中医医院</w:t>
      </w:r>
      <w:bookmarkEnd w:id="15"/>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（供应商名称）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项目的响应文件。在此郑重声明：我公司参加政府采购活动前三年内，在经营活动中没有重大违法记录。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供应商代表签字：______________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供应商名称：__________________</w:t>
      </w:r>
    </w:p>
    <w:p>
      <w:pPr>
        <w:spacing w:line="360" w:lineRule="auto"/>
        <w:jc w:val="left"/>
        <w:rPr>
          <w:rFonts w:ascii="宋体" w:hAnsi="宋体" w:eastAsia="宋体" w:cs="Times New Roman"/>
          <w:sz w:val="24"/>
          <w:szCs w:val="20"/>
        </w:rPr>
        <w:sectPr>
          <w:headerReference r:id="rId13" w:type="first"/>
          <w:footerReference r:id="rId15" w:type="first"/>
          <w:footerReference r:id="rId14" w:type="default"/>
          <w:headerReference r:id="rId12" w:type="even"/>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6" w:name="_Toc11326097"/>
      <w:r>
        <w:rPr>
          <w:rFonts w:hint="eastAsia" w:ascii="宋体" w:hAnsi="宋体" w:eastAsia="宋体" w:cs="Times New Roman"/>
          <w:b/>
          <w:sz w:val="28"/>
          <w:szCs w:val="20"/>
        </w:rPr>
        <w:t>附件</w:t>
      </w:r>
      <w:r>
        <w:rPr>
          <w:rFonts w:hint="eastAsia" w:ascii="Times New Roman" w:hAnsi="Times New Roman" w:eastAsia="宋体" w:cs="Times New Roman"/>
          <w:b/>
          <w:sz w:val="28"/>
          <w:szCs w:val="20"/>
        </w:rPr>
        <w:t>2</w:t>
      </w:r>
      <w:r>
        <w:rPr>
          <w:rFonts w:hint="eastAsia" w:ascii="宋体" w:hAnsi="宋体" w:eastAsia="宋体" w:cs="Times New Roman"/>
          <w:b/>
          <w:sz w:val="28"/>
          <w:szCs w:val="20"/>
        </w:rPr>
        <w:t>：无行贿犯罪记录声明函（格式）</w:t>
      </w:r>
      <w:bookmarkEnd w:id="16"/>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（供应商名称）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项目的响应文件。在此郑重声明：经查询中国裁判文书网，我公司自开展经营活动以来，未有过行贿犯罪记录。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供应商代表签字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供应商名称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Fonts w:ascii="Times New Roman" w:hAnsi="Times New Roman"/>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3</w:t>
    </w:r>
    <w:r>
      <w:rPr>
        <w:lang w:val="zh-CN"/>
      </w:rP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Fonts w:ascii="Times New Roman" w:hAnsi="Times New Roman"/>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3074"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3075"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3073"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3077" o:spid="_x0000_s3077"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3078"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3079"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3076"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3081"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3080"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B7DDC"/>
    <w:multiLevelType w:val="multilevel"/>
    <w:tmpl w:val="57FB7DDC"/>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MwMWVlYjFhODBhNjc5MzQ3MTA5NGI2YTI3YzMyNDgifQ=="/>
  </w:docVars>
  <w:rsids>
    <w:rsidRoot w:val="002264AA"/>
    <w:rsid w:val="00011506"/>
    <w:rsid w:val="000125C7"/>
    <w:rsid w:val="00013D57"/>
    <w:rsid w:val="000141AE"/>
    <w:rsid w:val="00043CEA"/>
    <w:rsid w:val="00050B1E"/>
    <w:rsid w:val="000519D9"/>
    <w:rsid w:val="0006275E"/>
    <w:rsid w:val="0006509C"/>
    <w:rsid w:val="000710CE"/>
    <w:rsid w:val="00081660"/>
    <w:rsid w:val="000A0D69"/>
    <w:rsid w:val="000B0E15"/>
    <w:rsid w:val="000B36BA"/>
    <w:rsid w:val="000B4BF9"/>
    <w:rsid w:val="000C42E6"/>
    <w:rsid w:val="000C566A"/>
    <w:rsid w:val="000D33EC"/>
    <w:rsid w:val="000F15C1"/>
    <w:rsid w:val="000F383D"/>
    <w:rsid w:val="000F3899"/>
    <w:rsid w:val="000F38D5"/>
    <w:rsid w:val="000F6FDF"/>
    <w:rsid w:val="00115168"/>
    <w:rsid w:val="0011684F"/>
    <w:rsid w:val="00121B45"/>
    <w:rsid w:val="00126B22"/>
    <w:rsid w:val="00136842"/>
    <w:rsid w:val="00164178"/>
    <w:rsid w:val="00185D83"/>
    <w:rsid w:val="001A0724"/>
    <w:rsid w:val="001A2CFB"/>
    <w:rsid w:val="001A56A1"/>
    <w:rsid w:val="001A6DB3"/>
    <w:rsid w:val="001B1D6B"/>
    <w:rsid w:val="001C0BE3"/>
    <w:rsid w:val="001C1675"/>
    <w:rsid w:val="001D1C9F"/>
    <w:rsid w:val="001D31DD"/>
    <w:rsid w:val="001D5E7C"/>
    <w:rsid w:val="001F182D"/>
    <w:rsid w:val="0020490F"/>
    <w:rsid w:val="0020746A"/>
    <w:rsid w:val="00211DEF"/>
    <w:rsid w:val="00220AB7"/>
    <w:rsid w:val="002264AA"/>
    <w:rsid w:val="00230761"/>
    <w:rsid w:val="00234BE2"/>
    <w:rsid w:val="0024608C"/>
    <w:rsid w:val="00255C49"/>
    <w:rsid w:val="00256413"/>
    <w:rsid w:val="002607FA"/>
    <w:rsid w:val="002733C2"/>
    <w:rsid w:val="00275EB2"/>
    <w:rsid w:val="00285B50"/>
    <w:rsid w:val="002878FE"/>
    <w:rsid w:val="00292763"/>
    <w:rsid w:val="002933C2"/>
    <w:rsid w:val="002944CA"/>
    <w:rsid w:val="00297F49"/>
    <w:rsid w:val="002A3B4B"/>
    <w:rsid w:val="002A4D0B"/>
    <w:rsid w:val="002C2DDE"/>
    <w:rsid w:val="002C5AD7"/>
    <w:rsid w:val="002C7619"/>
    <w:rsid w:val="002D0BF1"/>
    <w:rsid w:val="002D3C22"/>
    <w:rsid w:val="002D6EFF"/>
    <w:rsid w:val="002E2A75"/>
    <w:rsid w:val="002F1E6F"/>
    <w:rsid w:val="00314656"/>
    <w:rsid w:val="00323D52"/>
    <w:rsid w:val="00326D42"/>
    <w:rsid w:val="00330FD4"/>
    <w:rsid w:val="00337B10"/>
    <w:rsid w:val="00347CB5"/>
    <w:rsid w:val="003611C5"/>
    <w:rsid w:val="00361A10"/>
    <w:rsid w:val="00361F91"/>
    <w:rsid w:val="003629F9"/>
    <w:rsid w:val="0036795A"/>
    <w:rsid w:val="003A0C52"/>
    <w:rsid w:val="003B0546"/>
    <w:rsid w:val="003B3F55"/>
    <w:rsid w:val="003B5D5B"/>
    <w:rsid w:val="003D7BE6"/>
    <w:rsid w:val="003E4BF3"/>
    <w:rsid w:val="003F05EE"/>
    <w:rsid w:val="004009DC"/>
    <w:rsid w:val="00402150"/>
    <w:rsid w:val="004032EE"/>
    <w:rsid w:val="00416501"/>
    <w:rsid w:val="00421FAE"/>
    <w:rsid w:val="004252E6"/>
    <w:rsid w:val="004428A8"/>
    <w:rsid w:val="00447176"/>
    <w:rsid w:val="00451AD4"/>
    <w:rsid w:val="0045760F"/>
    <w:rsid w:val="00464C99"/>
    <w:rsid w:val="004856AE"/>
    <w:rsid w:val="00492972"/>
    <w:rsid w:val="00496F39"/>
    <w:rsid w:val="004B14E2"/>
    <w:rsid w:val="004C016D"/>
    <w:rsid w:val="004E1A36"/>
    <w:rsid w:val="004E2DC8"/>
    <w:rsid w:val="004F1D62"/>
    <w:rsid w:val="004F2D26"/>
    <w:rsid w:val="00512B42"/>
    <w:rsid w:val="00515D39"/>
    <w:rsid w:val="005272FB"/>
    <w:rsid w:val="00553EE8"/>
    <w:rsid w:val="005549B6"/>
    <w:rsid w:val="00557B55"/>
    <w:rsid w:val="00565971"/>
    <w:rsid w:val="00566007"/>
    <w:rsid w:val="0059538B"/>
    <w:rsid w:val="005B21AB"/>
    <w:rsid w:val="005E4513"/>
    <w:rsid w:val="00602192"/>
    <w:rsid w:val="00610628"/>
    <w:rsid w:val="0061110B"/>
    <w:rsid w:val="006143B0"/>
    <w:rsid w:val="006158DB"/>
    <w:rsid w:val="0061641C"/>
    <w:rsid w:val="00626C56"/>
    <w:rsid w:val="00627A5D"/>
    <w:rsid w:val="00627B45"/>
    <w:rsid w:val="006324E6"/>
    <w:rsid w:val="00633179"/>
    <w:rsid w:val="00633919"/>
    <w:rsid w:val="00650511"/>
    <w:rsid w:val="00653F5D"/>
    <w:rsid w:val="0065705F"/>
    <w:rsid w:val="006611B4"/>
    <w:rsid w:val="00677D24"/>
    <w:rsid w:val="00685C68"/>
    <w:rsid w:val="00694079"/>
    <w:rsid w:val="006B442E"/>
    <w:rsid w:val="006C588D"/>
    <w:rsid w:val="006D2788"/>
    <w:rsid w:val="006D717F"/>
    <w:rsid w:val="006E6F84"/>
    <w:rsid w:val="00713776"/>
    <w:rsid w:val="00714EB9"/>
    <w:rsid w:val="00721195"/>
    <w:rsid w:val="00724CCB"/>
    <w:rsid w:val="007261ED"/>
    <w:rsid w:val="00732C40"/>
    <w:rsid w:val="007334B0"/>
    <w:rsid w:val="0075233B"/>
    <w:rsid w:val="00763491"/>
    <w:rsid w:val="0077000C"/>
    <w:rsid w:val="0077550E"/>
    <w:rsid w:val="00777836"/>
    <w:rsid w:val="0078097E"/>
    <w:rsid w:val="00785740"/>
    <w:rsid w:val="007A4F2D"/>
    <w:rsid w:val="007A6617"/>
    <w:rsid w:val="007A775E"/>
    <w:rsid w:val="007A7FCD"/>
    <w:rsid w:val="007B08CB"/>
    <w:rsid w:val="007B64F2"/>
    <w:rsid w:val="007C3A75"/>
    <w:rsid w:val="007C42D1"/>
    <w:rsid w:val="007D3CBB"/>
    <w:rsid w:val="007D52BC"/>
    <w:rsid w:val="007E4F45"/>
    <w:rsid w:val="007E58A7"/>
    <w:rsid w:val="007F0315"/>
    <w:rsid w:val="008024AD"/>
    <w:rsid w:val="00804291"/>
    <w:rsid w:val="0080738C"/>
    <w:rsid w:val="00810281"/>
    <w:rsid w:val="008156FF"/>
    <w:rsid w:val="00821855"/>
    <w:rsid w:val="00831317"/>
    <w:rsid w:val="00832B25"/>
    <w:rsid w:val="00835CF5"/>
    <w:rsid w:val="00836CB1"/>
    <w:rsid w:val="0084128B"/>
    <w:rsid w:val="0085524B"/>
    <w:rsid w:val="00857168"/>
    <w:rsid w:val="00863396"/>
    <w:rsid w:val="00894E6D"/>
    <w:rsid w:val="008950D0"/>
    <w:rsid w:val="00896D22"/>
    <w:rsid w:val="008B3895"/>
    <w:rsid w:val="008E1415"/>
    <w:rsid w:val="008E4FD1"/>
    <w:rsid w:val="008E5767"/>
    <w:rsid w:val="008F63B0"/>
    <w:rsid w:val="00915109"/>
    <w:rsid w:val="0092781B"/>
    <w:rsid w:val="009330E8"/>
    <w:rsid w:val="00952869"/>
    <w:rsid w:val="009654F7"/>
    <w:rsid w:val="00965881"/>
    <w:rsid w:val="00972B72"/>
    <w:rsid w:val="00975668"/>
    <w:rsid w:val="009B01E5"/>
    <w:rsid w:val="009C246E"/>
    <w:rsid w:val="009D6949"/>
    <w:rsid w:val="009F286A"/>
    <w:rsid w:val="009F2B91"/>
    <w:rsid w:val="00A025C9"/>
    <w:rsid w:val="00A034AE"/>
    <w:rsid w:val="00A05841"/>
    <w:rsid w:val="00A1393F"/>
    <w:rsid w:val="00A20F3E"/>
    <w:rsid w:val="00A27B13"/>
    <w:rsid w:val="00A46001"/>
    <w:rsid w:val="00A64A71"/>
    <w:rsid w:val="00A82401"/>
    <w:rsid w:val="00A876CF"/>
    <w:rsid w:val="00AA4D22"/>
    <w:rsid w:val="00AA76FA"/>
    <w:rsid w:val="00AB1682"/>
    <w:rsid w:val="00AB50E0"/>
    <w:rsid w:val="00AE4B4E"/>
    <w:rsid w:val="00B0088F"/>
    <w:rsid w:val="00B02866"/>
    <w:rsid w:val="00B06468"/>
    <w:rsid w:val="00B07549"/>
    <w:rsid w:val="00B13575"/>
    <w:rsid w:val="00B3716C"/>
    <w:rsid w:val="00B51EDF"/>
    <w:rsid w:val="00B551DC"/>
    <w:rsid w:val="00B57CC1"/>
    <w:rsid w:val="00B606A2"/>
    <w:rsid w:val="00B60990"/>
    <w:rsid w:val="00B62C6C"/>
    <w:rsid w:val="00B6491E"/>
    <w:rsid w:val="00B916DE"/>
    <w:rsid w:val="00BA4F0A"/>
    <w:rsid w:val="00BD1EC6"/>
    <w:rsid w:val="00BD781F"/>
    <w:rsid w:val="00BE1A57"/>
    <w:rsid w:val="00BE4003"/>
    <w:rsid w:val="00BF32FD"/>
    <w:rsid w:val="00C00FDB"/>
    <w:rsid w:val="00C023EB"/>
    <w:rsid w:val="00C2144A"/>
    <w:rsid w:val="00C222A6"/>
    <w:rsid w:val="00C23970"/>
    <w:rsid w:val="00C50534"/>
    <w:rsid w:val="00C532EB"/>
    <w:rsid w:val="00C56FED"/>
    <w:rsid w:val="00C6313F"/>
    <w:rsid w:val="00C63478"/>
    <w:rsid w:val="00C678DB"/>
    <w:rsid w:val="00CA47B3"/>
    <w:rsid w:val="00CB2A1C"/>
    <w:rsid w:val="00CB7F44"/>
    <w:rsid w:val="00CC2233"/>
    <w:rsid w:val="00CC4535"/>
    <w:rsid w:val="00CD25BA"/>
    <w:rsid w:val="00CE440C"/>
    <w:rsid w:val="00CF23F7"/>
    <w:rsid w:val="00D05FB6"/>
    <w:rsid w:val="00D15ED1"/>
    <w:rsid w:val="00D1716C"/>
    <w:rsid w:val="00D26935"/>
    <w:rsid w:val="00D40A23"/>
    <w:rsid w:val="00D41D50"/>
    <w:rsid w:val="00D45BAF"/>
    <w:rsid w:val="00D54996"/>
    <w:rsid w:val="00D57486"/>
    <w:rsid w:val="00D6250A"/>
    <w:rsid w:val="00D62D3A"/>
    <w:rsid w:val="00D73476"/>
    <w:rsid w:val="00D74574"/>
    <w:rsid w:val="00D75678"/>
    <w:rsid w:val="00D76768"/>
    <w:rsid w:val="00D8617B"/>
    <w:rsid w:val="00DA206F"/>
    <w:rsid w:val="00DA7649"/>
    <w:rsid w:val="00DB40DE"/>
    <w:rsid w:val="00DD32B4"/>
    <w:rsid w:val="00DF676A"/>
    <w:rsid w:val="00E03672"/>
    <w:rsid w:val="00E106C9"/>
    <w:rsid w:val="00E1776D"/>
    <w:rsid w:val="00E41E44"/>
    <w:rsid w:val="00E4341C"/>
    <w:rsid w:val="00E465A8"/>
    <w:rsid w:val="00E5098D"/>
    <w:rsid w:val="00E52BDE"/>
    <w:rsid w:val="00E53E26"/>
    <w:rsid w:val="00E53EFB"/>
    <w:rsid w:val="00E55160"/>
    <w:rsid w:val="00E55D05"/>
    <w:rsid w:val="00E56716"/>
    <w:rsid w:val="00E60122"/>
    <w:rsid w:val="00E602B7"/>
    <w:rsid w:val="00E81D5C"/>
    <w:rsid w:val="00EB5932"/>
    <w:rsid w:val="00EC560D"/>
    <w:rsid w:val="00ED17C5"/>
    <w:rsid w:val="00ED48DA"/>
    <w:rsid w:val="00EE1323"/>
    <w:rsid w:val="00F02F0B"/>
    <w:rsid w:val="00F12D44"/>
    <w:rsid w:val="00F139E5"/>
    <w:rsid w:val="00F176FC"/>
    <w:rsid w:val="00F17CC5"/>
    <w:rsid w:val="00F2312E"/>
    <w:rsid w:val="00F40EB9"/>
    <w:rsid w:val="00F668F9"/>
    <w:rsid w:val="00F7575C"/>
    <w:rsid w:val="00F83CAE"/>
    <w:rsid w:val="00F92131"/>
    <w:rsid w:val="00FC7128"/>
    <w:rsid w:val="00FF13CD"/>
    <w:rsid w:val="012E69FA"/>
    <w:rsid w:val="065B5A88"/>
    <w:rsid w:val="0675720D"/>
    <w:rsid w:val="069845E6"/>
    <w:rsid w:val="0AB704B6"/>
    <w:rsid w:val="0B213EC0"/>
    <w:rsid w:val="0B8B1E21"/>
    <w:rsid w:val="0BF00DA4"/>
    <w:rsid w:val="0FD20B69"/>
    <w:rsid w:val="13F37F54"/>
    <w:rsid w:val="13FF5CA5"/>
    <w:rsid w:val="18DF7E53"/>
    <w:rsid w:val="1977008B"/>
    <w:rsid w:val="1991739F"/>
    <w:rsid w:val="1A680193"/>
    <w:rsid w:val="1B333E29"/>
    <w:rsid w:val="1F080933"/>
    <w:rsid w:val="1F1C595D"/>
    <w:rsid w:val="206F557C"/>
    <w:rsid w:val="22AA393E"/>
    <w:rsid w:val="29F574D6"/>
    <w:rsid w:val="2B4504F9"/>
    <w:rsid w:val="2B667F60"/>
    <w:rsid w:val="2BDD305B"/>
    <w:rsid w:val="2EA65243"/>
    <w:rsid w:val="345B0BA2"/>
    <w:rsid w:val="34903C01"/>
    <w:rsid w:val="35805CB4"/>
    <w:rsid w:val="377E4FAF"/>
    <w:rsid w:val="39AE31FE"/>
    <w:rsid w:val="3B40257B"/>
    <w:rsid w:val="3BB00D7F"/>
    <w:rsid w:val="3F3926A4"/>
    <w:rsid w:val="416D419A"/>
    <w:rsid w:val="421443FB"/>
    <w:rsid w:val="42B77BA3"/>
    <w:rsid w:val="43EF2D90"/>
    <w:rsid w:val="4AD856C1"/>
    <w:rsid w:val="4B863339"/>
    <w:rsid w:val="4B92438F"/>
    <w:rsid w:val="4C0F0CAD"/>
    <w:rsid w:val="4C5E0AB3"/>
    <w:rsid w:val="4D77632F"/>
    <w:rsid w:val="4E1A4EAE"/>
    <w:rsid w:val="4F960564"/>
    <w:rsid w:val="4FCE7CFE"/>
    <w:rsid w:val="52355783"/>
    <w:rsid w:val="523A557A"/>
    <w:rsid w:val="523A778A"/>
    <w:rsid w:val="5389510F"/>
    <w:rsid w:val="53B03657"/>
    <w:rsid w:val="54FB1595"/>
    <w:rsid w:val="58D345D7"/>
    <w:rsid w:val="59034EBC"/>
    <w:rsid w:val="5DDE7571"/>
    <w:rsid w:val="60BA47AE"/>
    <w:rsid w:val="60D61108"/>
    <w:rsid w:val="65256D43"/>
    <w:rsid w:val="673A3484"/>
    <w:rsid w:val="674458C0"/>
    <w:rsid w:val="6A0856B9"/>
    <w:rsid w:val="6A39718F"/>
    <w:rsid w:val="6AFA2A84"/>
    <w:rsid w:val="6C1C5923"/>
    <w:rsid w:val="6D7666A3"/>
    <w:rsid w:val="6E4844BA"/>
    <w:rsid w:val="6E4A7EB6"/>
    <w:rsid w:val="6EE9118D"/>
    <w:rsid w:val="70EA395C"/>
    <w:rsid w:val="738A5656"/>
    <w:rsid w:val="74730CF0"/>
    <w:rsid w:val="755F74C6"/>
    <w:rsid w:val="77C35AEB"/>
    <w:rsid w:val="783B50C2"/>
    <w:rsid w:val="796055BB"/>
    <w:rsid w:val="7A5B4672"/>
    <w:rsid w:val="7B42141C"/>
    <w:rsid w:val="7CA25B04"/>
    <w:rsid w:val="7DF7741D"/>
    <w:rsid w:val="7F57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semiHidden/>
    <w:qFormat/>
    <w:uiPriority w:val="0"/>
    <w:rPr>
      <w:rFonts w:ascii="Times New Roman" w:hAnsi="Times New Roman" w:eastAsia="宋体" w:cs="Times New Roman"/>
      <w:sz w:val="18"/>
      <w:szCs w:val="18"/>
    </w:rPr>
  </w:style>
  <w:style w:type="paragraph" w:styleId="22">
    <w:name w:val="footer"/>
    <w:basedOn w:val="1"/>
    <w:link w:val="39"/>
    <w:unhideWhenUsed/>
    <w:qFormat/>
    <w:uiPriority w:val="99"/>
    <w:pPr>
      <w:tabs>
        <w:tab w:val="center" w:pos="4153"/>
        <w:tab w:val="right" w:pos="8306"/>
      </w:tabs>
      <w:snapToGrid w:val="0"/>
      <w:jc w:val="left"/>
    </w:pPr>
    <w:rPr>
      <w:sz w:val="18"/>
      <w:szCs w:val="18"/>
    </w:rPr>
  </w:style>
  <w:style w:type="paragraph" w:styleId="23">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semiHidden/>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
    <w:qFormat/>
    <w:uiPriority w:val="0"/>
    <w:rPr>
      <w:rFonts w:ascii="Times New Roman" w:hAnsi="Times New Roman" w:cs="Times New Roman"/>
      <w:b/>
      <w:bCs/>
      <w:kern w:val="44"/>
      <w:sz w:val="44"/>
      <w:szCs w:val="44"/>
    </w:rPr>
  </w:style>
  <w:style w:type="character" w:customStyle="1" w:styleId="137">
    <w:name w:val="Heading 2 Char"/>
    <w:qFormat/>
    <w:uiPriority w:val="0"/>
    <w:rPr>
      <w:rFonts w:ascii="Cambria" w:hAnsi="Cambria" w:eastAsia="宋体" w:cs="Cambria"/>
      <w:b/>
      <w:bCs/>
      <w:sz w:val="32"/>
      <w:szCs w:val="32"/>
    </w:rPr>
  </w:style>
  <w:style w:type="character" w:customStyle="1" w:styleId="138">
    <w:name w:val="Heading 3 Char"/>
    <w:qFormat/>
    <w:uiPriority w:val="0"/>
    <w:rPr>
      <w:rFonts w:ascii="Times New Roman" w:hAnsi="Times New Roman" w:cs="Times New Roman"/>
      <w:b/>
      <w:bCs/>
      <w:sz w:val="32"/>
      <w:szCs w:val="32"/>
    </w:rPr>
  </w:style>
  <w:style w:type="character" w:customStyle="1" w:styleId="139">
    <w:name w:val="Heading 4 Char"/>
    <w:qFormat/>
    <w:uiPriority w:val="0"/>
    <w:rPr>
      <w:rFonts w:ascii="Cambria" w:hAnsi="Cambria" w:eastAsia="宋体" w:cs="Cambria"/>
      <w:b/>
      <w:bCs/>
      <w:sz w:val="28"/>
      <w:szCs w:val="28"/>
    </w:rPr>
  </w:style>
  <w:style w:type="character" w:customStyle="1" w:styleId="140">
    <w:name w:val="Heading 5 Char"/>
    <w:qFormat/>
    <w:uiPriority w:val="0"/>
    <w:rPr>
      <w:rFonts w:ascii="Times New Roman" w:hAnsi="Times New Roman" w:cs="Times New Roman"/>
      <w:b/>
      <w:bCs/>
      <w:sz w:val="28"/>
      <w:szCs w:val="28"/>
    </w:rPr>
  </w:style>
  <w:style w:type="character" w:customStyle="1" w:styleId="141">
    <w:name w:val="Heading 6 Char"/>
    <w:qFormat/>
    <w:uiPriority w:val="0"/>
    <w:rPr>
      <w:rFonts w:ascii="Cambria" w:hAnsi="Cambria" w:eastAsia="宋体" w:cs="Cambria"/>
      <w:b/>
      <w:bCs/>
      <w:sz w:val="24"/>
      <w:szCs w:val="24"/>
    </w:rPr>
  </w:style>
  <w:style w:type="character" w:customStyle="1" w:styleId="142">
    <w:name w:val="Heading 7 Char"/>
    <w:qFormat/>
    <w:uiPriority w:val="0"/>
    <w:rPr>
      <w:rFonts w:ascii="Times New Roman" w:hAnsi="Times New Roman" w:cs="Times New Roman"/>
      <w:b/>
      <w:bCs/>
      <w:sz w:val="24"/>
      <w:szCs w:val="24"/>
    </w:rPr>
  </w:style>
  <w:style w:type="character" w:customStyle="1" w:styleId="143">
    <w:name w:val="Heading 8 Char"/>
    <w:qFormat/>
    <w:uiPriority w:val="0"/>
    <w:rPr>
      <w:rFonts w:ascii="Cambria" w:hAnsi="Cambria" w:eastAsia="宋体" w:cs="Cambria"/>
      <w:sz w:val="24"/>
      <w:szCs w:val="24"/>
    </w:rPr>
  </w:style>
  <w:style w:type="character" w:customStyle="1" w:styleId="144">
    <w:name w:val="Heading 9 Char"/>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semiHidden/>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semiHidden/>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 w:type="paragraph" w:customStyle="1" w:styleId="208">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09">
    <w:name w:val="纯文本 字符1"/>
    <w:basedOn w:val="33"/>
    <w:qFormat/>
    <w:uiPriority w:val="0"/>
    <w:rPr>
      <w:rFonts w:ascii="宋体" w:hAnsi="Courier New"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customShpInfo spid="_x0000_s3075"/>
    <customShpInfo spid="_x0000_s3073"/>
    <customShpInfo spid="_x0000_s3077"/>
    <customShpInfo spid="_x0000_s3078"/>
    <customShpInfo spid="_x0000_s3079"/>
    <customShpInfo spid="_x0000_s3076"/>
    <customShpInfo spid="_x0000_s3081"/>
    <customShpInfo spid="_x0000_s308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BC85B0-4EEA-4D7D-963F-991BF34555C7}">
  <ds:schemaRefs/>
</ds:datastoreItem>
</file>

<file path=docProps/app.xml><?xml version="1.0" encoding="utf-8"?>
<Properties xmlns="http://schemas.openxmlformats.org/officeDocument/2006/extended-properties" xmlns:vt="http://schemas.openxmlformats.org/officeDocument/2006/docPropsVTypes">
  <Template>Normal</Template>
  <Pages>16</Pages>
  <Words>7102</Words>
  <Characters>7711</Characters>
  <Lines>12</Lines>
  <Paragraphs>16</Paragraphs>
  <TotalTime>15</TotalTime>
  <ScaleCrop>false</ScaleCrop>
  <LinksUpToDate>false</LinksUpToDate>
  <CharactersWithSpaces>7808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2022-11-22T07:58:00Z</dcterms:created>
  <dc:creator>zhang jun</dc:creator>
  <cp:lastModifiedBy>HP</cp:lastModifiedBy>
  <dcterms:modified xsi:type="dcterms:W3CDTF">2023-01-29T01:22:46Z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121D1633F5AB4141929358A9B22A6002</vt:lpwstr>
  </property>
</Properties>
</file>